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86R10790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transfer pathways in the guidelines addressing transfer practices published by general academic teaching institutions.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61.830,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61.830.</w:t>
      </w:r>
      <w:r xml:space="preserve">
        <w:t> </w:t>
      </w:r>
      <w:r xml:space="preserve">
        <w:t> </w:t>
      </w:r>
      <w:r>
        <w:t xml:space="preserve">PUBLICATION OF GUIDELINES ADDRESSING TRANSFER PRACTICES.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In </w:t>
      </w:r>
      <w:r>
        <w:rPr>
          <w:u w:val="single"/>
        </w:rPr>
        <w:t xml:space="preserve">the institution's</w:t>
      </w:r>
      <w:r>
        <w:t xml:space="preserve"> [</w:t>
      </w:r>
      <w:r>
        <w:rPr>
          <w:strike/>
        </w:rPr>
        <w:t xml:space="preserve">its</w:t>
      </w:r>
      <w:r>
        <w:t xml:space="preserve">] course catalogs and on </w:t>
      </w:r>
      <w:r>
        <w:rPr>
          <w:u w:val="single"/>
        </w:rPr>
        <w:t xml:space="preserve">the institution's Internet</w:t>
      </w:r>
      <w:r>
        <w:t xml:space="preserve"> [</w:t>
      </w:r>
      <w:r>
        <w:rPr>
          <w:strike/>
        </w:rPr>
        <w:t xml:space="preserve">its</w:t>
      </w:r>
      <w:r>
        <w:t xml:space="preserve">] website, each institution of higher education shall publish guidelines addressing the practices of the institution regarding the transfer of course credit. In the guidelines, the institution must identify a course by using the common course numbering system approved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general academic teaching institution shall include in the guidelines published on the institution's Internet website under Subsection (a) a transfer pathway for each major in the top 25 majors at the institution for which students most frequently transfer to the institution. </w:t>
      </w:r>
      <w:r>
        <w:rPr>
          <w:u w:val="single"/>
        </w:rPr>
        <w:t xml:space="preserve"> </w:t>
      </w:r>
      <w:r>
        <w:rPr>
          <w:u w:val="single"/>
        </w:rPr>
        <w:t xml:space="preserve">A transfer pathway must identify: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lower division course requirements for the major, including the core curriculum requirements;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course that may be transferred to the institution from a public junior college for course credit applied toward the major or the core curriculum.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academic teaching institution shall annually review and, if necessary, update each transfer pathway required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general academic teaching institution shall develop and publish the transfer pathways required under Section 61.830, Education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