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86R9982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 Wu</w:t>
      </w:r>
      <w:r xml:space="preserve">
        <w:tab wTab="150" tlc="none" cTlc="0"/>
      </w:r>
      <w:r>
        <w:t xml:space="preserve">H.B.</w:t>
      </w:r>
      <w:r xml:space="preserve">
        <w:t> </w:t>
      </w:r>
      <w:r>
        <w:t xml:space="preserve">No.</w:t>
      </w:r>
      <w:r xml:space="preserve">
        <w:t> </w:t>
      </w:r>
      <w:r>
        <w:t xml:space="preserve">1944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extension of deadlines for claims and related settlement and dispute resolution under the Texas Windstorm Insurance Association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2210.581, Insurance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commissioner, on a showing of good cause, may by rule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extend any deadline established under this subchapter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 the length of the extension</w:t>
      </w:r>
      <w:r>
        <w:t xml:space="preserve">.</w:t>
      </w:r>
    </w:p>
    <w:p w:rsidR="003F3435" w:rsidRDefault="0032493E">
      <w:pPr>
        <w:spacing w:line="480" w:lineRule="auto"/>
        <w:ind w:firstLine="720"/>
        <w:jc w:val="both"/>
      </w:pPr>
      <w:r>
        <w:t xml:space="preserve">(b)</w:t>
      </w:r>
      <w:r xml:space="preserve">
        <w:t> </w:t>
      </w:r>
      <w:r xml:space="preserve">
        <w:t> </w:t>
      </w:r>
      <w:r>
        <w:t xml:space="preserve">With reference to </w:t>
      </w:r>
      <w:r>
        <w:rPr>
          <w:u w:val="single"/>
        </w:rPr>
        <w:t xml:space="preserve">deadlines applicable to the association only, all deadline extensions related to</w:t>
      </w:r>
      <w:r>
        <w:t xml:space="preserve"> claims </w:t>
      </w:r>
      <w:r>
        <w:rPr>
          <w:u w:val="single"/>
        </w:rPr>
        <w:t xml:space="preserve">arising from</w:t>
      </w:r>
      <w:r>
        <w:t xml:space="preserve"> </w:t>
      </w:r>
      <w:r>
        <w:t xml:space="preserve">[</w:t>
      </w:r>
      <w:r>
        <w:rPr>
          <w:strike/>
        </w:rPr>
        <w:t xml:space="preserve">filed during</w:t>
      </w:r>
      <w:r>
        <w:t xml:space="preserve">] a particular </w:t>
      </w:r>
      <w:r>
        <w:rPr>
          <w:u w:val="single"/>
        </w:rPr>
        <w:t xml:space="preserve">storm</w:t>
      </w:r>
      <w:r>
        <w:t xml:space="preserve"> [</w:t>
      </w:r>
      <w:r>
        <w:rPr>
          <w:strike/>
        </w:rPr>
        <w:t xml:space="preserve">catastrophe year, the extension of deadlines under Subsection (a)</w:t>
      </w:r>
      <w:r>
        <w:t xml:space="preserve">] may not exceed 120 days in the aggregate. </w:t>
      </w:r>
      <w:r>
        <w:t xml:space="preserve"> </w:t>
      </w:r>
      <w:r>
        <w:rPr>
          <w:u w:val="single"/>
        </w:rPr>
        <w:t xml:space="preserve">This subsection does not affect the extension of a deadline applicable to a claimant or to both the association and a claimant.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necessary to implement this section.  Section 2001.0045, Government Code, does not apply to rules adopted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filed on or after the effective date of this Act.  A claim filed before the effective date of this Act is governed by the law applicable to the claim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