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86R10786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1945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in certain areas of the campus of a public or private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permit a license holder to possess a concealed handgun, or go with a concealed handgun, on the premises of a child-care facility, as defined by Section 42.002, Human Resources Code, that is located on the campus of an institution of higher education or private or independent institution of higher education if the institution gives effective notice under Section 30.06,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 Penal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Subsection (a)(1)(B) does not permit a person to possess a concealed handgun, or go with a concealed handgun, on the premises of a child-care facility, as defined by Section 42.002, Human Resources Code, that is located on the campus of an institution of higher education or private or independent institution of higher education if the institution gives effective notice under Section 30.06.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