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86R5938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1947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funding for the implementation of teacher excellence initiative programs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21, Education Code, is amended by adding Section 21.358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21.358.</w:t>
      </w:r>
      <w:r>
        <w:rPr>
          <w:u w:val="single"/>
        </w:rPr>
        <w:t xml:space="preserve"> </w:t>
      </w:r>
      <w:r>
        <w:rPr>
          <w:u w:val="single"/>
        </w:rPr>
        <w:t xml:space="preserve"> </w:t>
      </w:r>
      <w:r>
        <w:rPr>
          <w:u w:val="single"/>
        </w:rPr>
        <w:t xml:space="preserve">TEACHER EXCELLENCE INITIATIVE PROGRAM.  (a) </w:t>
      </w:r>
      <w:r>
        <w:rPr>
          <w:u w:val="single"/>
        </w:rPr>
        <w:t xml:space="preserve"> </w:t>
      </w:r>
      <w:r>
        <w:rPr>
          <w:u w:val="single"/>
        </w:rPr>
        <w:t xml:space="preserve">In this section, "teacher excellence initiative program" means a program implemented by a school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evaluating the effectiveness of classroom teachers under a multi-measure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encouraging highly effective classroom teachers to remain at or seek transfer to campuses with poor overall or domain performance ratings under Section 39.054;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awarding merit salary increases to classroom teachers based on the evaluation described by Subdivision (1) who are assigned to campuses described by Subdivision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submit a request to the commissioner for state funding under this section to assist the district in providing the merit salary increases.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From funds appropriated for that purpose, the commissioner shall provide funding under this section in accordance with rules adopted by the commissioner for that purpose.  If funds are not available to provide funding to each school district that submits a request under Subsection (b), the commissioner shall give priority to school districts with the highest proportion of educationally disadvantaged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Funding received under this section may only be used by a school district to provide and sustain merit salary increases provided to classroom teachers under a teacher excellence initiative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Rules adopted under Subsection (c) must require that a school district demonstrate improved campus performance in order to continue receiving merit salary increase funding for classroom teachers assigned to that campus.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the commissioner of education shall adopt rules under Section 21.358,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