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86R10785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1955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defendants for release on personal bond.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17.03, Code of Criminal Procedure, is amended by amending Subsection (a) and adding Subsection (b-2)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w:t>
      </w:r>
      <w:r>
        <w:rPr>
          <w:u w:val="single"/>
        </w:rPr>
        <w:t xml:space="preserve">,</w:t>
      </w:r>
      <w:r>
        <w:t xml:space="preserve"> [</w:t>
      </w:r>
      <w:r>
        <w:rPr>
          <w:strike/>
        </w:rPr>
        <w:t xml:space="preserve">or</w:t>
      </w:r>
      <w:r>
        <w:t xml:space="preserve">] (b-1)</w:t>
      </w:r>
      <w:r>
        <w:rPr>
          <w:u w:val="single"/>
        </w:rPr>
        <w:t xml:space="preserve">, or (b-2)</w:t>
      </w:r>
      <w:r>
        <w:t xml:space="preserve">, a magistrate may, in the magistrate's discretion, release the defendant on personal bond without sureties or other security.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magistrate shall release on personal bond a defendant who is charged with a misdemeanor unless the magistrate makes an affirmative finding of fact and files a statement of that affirmative finding with the papers in the case that extenuating circumstances justify not releasing the defendant on personal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personal bond that is executed on or after the effective date of this Act.  A personal bond executed before the effective date of this Act is governed by the law in effect when the personal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