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86R6340 CLG-D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Dutton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1957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provision of a contract that conflicts with state law.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Title 9, Business &amp; Commerce Code, is amended to read as follows:</w:t>
      </w:r>
    </w:p>
    <w:p w:rsidR="003F3435" w:rsidRDefault="0032493E">
      <w:pPr>
        <w:spacing w:line="480" w:lineRule="auto"/>
        <w:jc w:val="center"/>
      </w:pPr>
      <w:r>
        <w:t xml:space="preserve">TITLE 9.  APPLICABILITY OF LAW TO COMMERCIAL TRANSACTIONS </w:t>
      </w:r>
      <w:r>
        <w:rPr>
          <w:u w:val="single"/>
        </w:rPr>
        <w:t xml:space="preserve">AND OTHER CONTRACTS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Title 9, Business &amp; Commerce Code, is amended by adding Chapter 275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 275.  STATE LAW CONTROLS OVER CONFLICTING CONTRACT TERMS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275.001.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CONFLICT WITH STATE LAW.  (a) </w:t>
      </w:r>
      <w:r>
        <w:rPr>
          <w:u w:val="single"/>
        </w:rPr>
        <w:t xml:space="preserve"> </w:t>
      </w:r>
      <w:r>
        <w:rPr>
          <w:u w:val="single"/>
        </w:rPr>
        <w:t xml:space="preserve">To the extent  a term or condition of a contract is in conflict with a law of this state, the law of this state controls.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Subsection (a) may not be construed to authorize the impairment of any contract in violation of the Texas Constitution or the United States Constitution.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1957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