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1959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transportation or storage of a firearm or ammunition by a handgun license holder in a private school parking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w:t>
      </w:r>
      <w:r>
        <w:rPr>
          <w:u w:val="single"/>
        </w:rPr>
        <w:t xml:space="preserve">,</w:t>
      </w:r>
      <w:r>
        <w:t xml:space="preserve"> [</w:t>
      </w:r>
      <w:r>
        <w:rPr>
          <w:strike/>
        </w:rPr>
        <w:t xml:space="preserve">or</w:t>
      </w:r>
      <w:r>
        <w:t xml:space="preserve">] open-enrollment charter school</w:t>
      </w:r>
      <w:r>
        <w:rPr>
          <w:u w:val="single"/>
        </w:rPr>
        <w:t xml:space="preserve">, or private school, including a parochial school,</w:t>
      </w:r>
      <w:r>
        <w:t xml:space="preserve"> may not prohibit a person, including a school employee, who holds a license to carry a handgun under Subchapter H, Chapter 411, Government Code, from transporting or storing a handgun or other firearm or ammunition in a locked, privately owned or leased motor vehicle in a parking lot, parking garage, or other parking area provided by the district</w:t>
      </w:r>
      <w:r>
        <w:rPr>
          <w:u w:val="single"/>
        </w:rPr>
        <w:t xml:space="preserve">,</w:t>
      </w:r>
      <w:r>
        <w:t xml:space="preserve"> [</w:t>
      </w:r>
      <w:r>
        <w:rPr>
          <w:strike/>
        </w:rPr>
        <w:t xml:space="preserve">or</w:t>
      </w:r>
      <w:r>
        <w:t xml:space="preserve">] charter school, </w:t>
      </w:r>
      <w:r>
        <w:rPr>
          <w:u w:val="single"/>
        </w:rPr>
        <w:t xml:space="preserve">or private school,</w:t>
      </w:r>
      <w:r>
        <w:t xml:space="preserve"> provided that the handgun, firearm, or ammunition is not in plain 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