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Anderson, Cyrier,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1960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González of El Paso, 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the governor's broadband development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F, Title 4, Government Code, is amended by adding Chapter 490H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490H. GOVERNOR'S BROADBAND DEVELOPMENT COUNCIL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"Broadband" means a service that provides advanced telecommunications capability and Internet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"Council" means the governor's broadband development council.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"Unserved area" means a census block without access to broadband capable of providing: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download speed of at least 25 megabits per second;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upload speed of at least three megabits per second.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COMPOSITION.  (a)  The council is composed of the following 17 voting members: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representatives of unaffiliated Internet service providers, including at least one representative of a small provider, as defined by Section 56.032, Utilities Code,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the health information technology industry,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representatives of unaffiliated nonprofit organizations that advocate for elderly persons statewide,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representatives of unaffiliated nonprofit organizations that have a demonstrated history of working with the legislature and the public to identify solutions for expanding broadband to rural, unserved areas of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an agricultural advocacy organization in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 hospital advocacy organization in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 medical advocacy organization in this state,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county official who serves in an elected office of a county with a population of less than 35,000,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municipal official who serves in an elected office of a municipality with a population of less than 20,000 located in a county with a population of less than 60,000,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an institution of higher education that has its main campus in a county with a population of less than 60,000,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of a school district with a territory that includes only counties with a population of less than 60,000,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representative from a library association, appointed by the governor;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member of the house of representatives, appointed by 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one state senator, appointed by the lieutenant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council appointed under Subsection (a) serves for a five-year term.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vacancy on the council is filled in the same manner as the original appointment.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COUNCIL PRESIDING OFFICER.  The governor shall designate the presiding officer of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MEETINGS.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council shall convene at least once every quarter.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shall convene at the call of the presiding officer.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ADMINISTRATIVE SUPPORT.  The office of the governor shall provide administrative support to the council.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DUTIES.  (a) </w:t>
      </w:r>
      <w:r>
        <w:rPr>
          <w:u w:val="single"/>
        </w:rPr>
        <w:t xml:space="preserve"> </w:t>
      </w:r>
      <w:r>
        <w:rPr>
          <w:u w:val="single"/>
        </w:rPr>
        <w:t xml:space="preserve">The council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research the progress of broadband development in unserved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barriers to residential and commercial broadband deployment in unserved areas;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technology-neutral solutions to overcome barriers identified under Subdivision (2);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analyze how statewide access to broadband would benefit: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economic development;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delivery of educational opportunities in higher education and public education;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and local law enforcement;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emergency preparedness;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delivery of health care services, including telemedicine and telehealth.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council may research another matter related to broadband only if a majority of the council approves researching the matter.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 of performing its duties under this section, the council may consult with a representative of an institution of higher education who has published scholarly research on broadband.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REPORT.  Not later than November 1 of each year, the council shall prepare and deliver an electronic report of its findings and recommendations to the governor, the lieutenant governor, and each member of the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490H.008.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EXPIRATION.  This chapter expires September 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first report described by Section 490H.007, Government Code, as added by this Act, is due November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