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86R22386 BRG-F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Price, Anderson, Cyrier,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2493E">
      <w:pPr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González of El Paso, et al.</w:t>
      </w:r>
    </w:p>
    <w:p w:rsidR="003F3435" w:rsidRDefault="0032493E">
      <w:pPr>
        <w:spacing w:before="240"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1960: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Parker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1960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creation of the governor's broadband development council.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Subtitle F, Title 4, Government Code, is amended by adding Chapter 490H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CHAPTER 490H. GOVERNOR'S BROADBAND DEVELOPMENT COUNCIL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DEFINITIONS. </w:t>
      </w:r>
      <w:r>
        <w:rPr>
          <w:u w:val="single"/>
        </w:rPr>
        <w:t xml:space="preserve"> </w:t>
      </w:r>
      <w:r>
        <w:rPr>
          <w:u w:val="single"/>
        </w:rP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"Broadband" means a service that provides advanced telecommunications capability and Internet access.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"Council" means the governor's broadband development council.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"Unserved area" means a census block without access to broadband capable of providing:</w:t>
      </w:r>
      <w:r>
        <w:t xml:space="preserve"> 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download speed of at least 25 megabits per second;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upload speed of at least three megabits per second.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COMPOSITION.  (a) </w:t>
      </w:r>
      <w:r>
        <w:rPr>
          <w:u w:val="single"/>
        </w:rPr>
        <w:t xml:space="preserve"> </w:t>
      </w:r>
      <w:r>
        <w:rPr>
          <w:u w:val="single"/>
        </w:rPr>
        <w:t xml:space="preserve">The council is composed of the following 17 voting members: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two representatives of unaffiliated Internet service providers,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the health information technology industry,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two representatives of unaffiliated nonprofit organizations that advocate for elderly persons statewide,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two representatives of unaffiliated nonprofit organizations that have a demonstrated history of working with the legislature and the public to identify solutions for expanding broadband to rural, unserved areas of this state,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an agricultural advocacy organization in this state,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hospital advocacy organization in this state,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(7)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medical advocacy organization in this state,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(8)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county official who serves in an elected office of a county with a population of less than 35,000, appointed by the governor;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(9)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municipal official who serves in an elected office of a municipality with a population of less than 20,000 located in a county with a population of less than 60,000,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(10)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an institution of higher education that has its main campus in a county with a population of less than 60,000,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of a school district with a territory that includes only counties with a population of less than 60,000,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representative from a library association, appointed by the governor;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member of the house of representatives, appointed by the speaker of the house of representatives;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one state senator, appointed by the lieutenant governor.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member of the council appointed under Subsection (a) serves for a five-year term.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vacancy on the council is filled in the same manner as the original appointment.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COUNCIL PRESIDING OFFICER.  The governor shall designate the presiding officer of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MEETINGS. </w:t>
      </w:r>
      <w:r>
        <w:rPr>
          <w:u w:val="single"/>
        </w:rPr>
        <w:t xml:space="preserve"> </w:t>
      </w:r>
      <w:r>
        <w:rPr>
          <w:u w:val="single"/>
        </w:rPr>
        <w:t xml:space="preserve">(a) </w:t>
      </w:r>
      <w:r>
        <w:rPr>
          <w:u w:val="single"/>
        </w:rPr>
        <w:t xml:space="preserve"> </w:t>
      </w:r>
      <w:r>
        <w:rPr>
          <w:u w:val="single"/>
        </w:rPr>
        <w:t xml:space="preserve">The council shall convene at least once every quarter.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shall convene at the call of the presiding officer.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ADMINISTRATIVE SUPPORT.  The office of the governor shall provide administrative support to the council.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DUTIES.  (a) </w:t>
      </w:r>
      <w:r>
        <w:rPr>
          <w:u w:val="single"/>
        </w:rPr>
        <w:t xml:space="preserve"> </w:t>
      </w:r>
      <w:r>
        <w:rPr>
          <w:u w:val="single"/>
        </w:rPr>
        <w:t xml:space="preserve">The council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research the progress of broadband development in unserved areas;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barriers to residential and commercial broadband deployment in unserved areas;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study technology-neutral solutions to overcome barriers identified under Subdivision (2);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analyze how statewide access to broadband would benefit: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economic development;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delivery of educational opportunities in higher education and public education;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and local law enforcement;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 emergency preparedness;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delivery of health care services, including telemedicine and telehealth.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council may research another matter related to broadband only if a majority of the council approves researching the matter.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the purpose of performing its duties under this section, the council may consult with a representative of an institution of higher education who has published scholarly research on broadband.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ANNUAL REPORT.  Not later than November 1 of each year, the council shall prepare and deliver an electronic report of its findings and recommendations to the governor, the lieutenant governor,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490H.008.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EXPIRATION.  This chapter expires September 1, 2029.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first report described by Section 490H.007, Government Code, as added by this Act, is due November 1, 2020.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1960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