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86R5054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contested case hearings conducted on behalf of the Texas Commission on Environmental Quality on matters involving municipal solid waste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2003.047, Government Code, is amended by adding Subsections (d-1) and (l-1)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the purposes of Subsection (d), to be eligible to preside at a hearing related to a permit for a municipal solid waste facility, an administrative law judge must have experience with solid waste engineering or management.</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For a hearing related to a permit for a municipal solid waste facility, the administrative law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findings of fact, conclusions of law, and any ultimate findings under Subsection (l) at an open meeting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answer questions related to the findings and conclusions asked by the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contested case hearing related to a permit for a municipal solid waste facility that is set by the State Office of Administrative Hearings on or after the effective date of this Act.  A hearing set before the effective date of this Act, or any decision issued or appealed from the hearing, is governed by the law in effect when the hearing was set,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