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1964</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procedure for action on certain applications for an amendment to a water right.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11.122, Water Code, is amended by adding Subsection (b-3) to read as follows:</w:t>
      </w:r>
    </w:p>
    <w:p w:rsidR="003F3435" w:rsidRDefault="0032493E">
      <w:pPr>
        <w:spacing w:line="480" w:lineRule="auto"/>
        <w:ind w:firstLine="720"/>
        <w:jc w:val="both"/>
      </w:pPr>
      <w:r>
        <w:rPr>
          <w:u w:val="single"/>
        </w:rPr>
        <w:t xml:space="preserve">(b-3)</w:t>
      </w:r>
      <w:r>
        <w:rPr>
          <w:u w:val="single"/>
        </w:rPr>
        <w:t xml:space="preserve"> </w:t>
      </w:r>
      <w:r>
        <w:rPr>
          <w:u w:val="single"/>
        </w:rPr>
        <w:t xml:space="preserve"> </w:t>
      </w:r>
      <w:r>
        <w:rPr>
          <w:u w:val="single"/>
        </w:rPr>
        <w:t xml:space="preserve">In addition to an application that meets the requirements of Subsection (b) and for which the commission has determined that notice or an opportunity for a contested case hearing is not required under another statute or a commission rule, an application for an amendment to a water right is exempt from any requirements of a statute or commission rule regarding notice and hearing or technical review by the executive director or the commission and may not be referred to the State Office of Administrative Hearings for a contested case hearing if the executive director determines after an administrative review that the application is for an amendment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adds a purpose of use that does not substantially alter: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nature of the right from a right authorizing only nonconsumptive use to a right authorizing consumptive use;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pattern of use that is explicitly authorized in or required by the original right;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adds a place of use located in the same basin as the place of use authorized by the original right;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changes the point of diversion, provided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authorized rate of diversion is not increased;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original point of diversion and the new point of diversion are located in the same contiguous tract of land;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original point of diversion and the new point of diversion are from the same source of supply;</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there are no points of diversion from the same source of supply associated with other water rights that are located between the original point of diversion and the new point of diversion;</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there are no streamflow gauges located on the source of supply between the original point of diversion and the new point of diversion that are referenced in the original water right or in another water right authorizing a diversion from the same source of supply; and</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there are no tributary watercourses that enter the watercourse that is the source of supply located between the original point of diversion and the new point of diversion.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applies to an application to amend a water right that is filed with the Texas Commission on Environmental Quality on or after the effective date of this Act or is pending as of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1964 was passed by the House on April 11, 2019, by the following vote:</w:t>
      </w:r>
      <w:r xml:space="preserve">
        <w:t> </w:t>
      </w:r>
      <w:r xml:space="preserve">
        <w:t> </w:t>
      </w:r>
      <w:r>
        <w:t xml:space="preserve">Yeas 140, Nays 4,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1964 was passed by the Senate on May 22, 2019, by the following vote:</w:t>
      </w:r>
      <w:r xml:space="preserve">
        <w:t> </w:t>
      </w:r>
      <w:r xml:space="preserve">
        <w:t> </w:t>
      </w:r>
      <w:r>
        <w:t xml:space="preserve">Yeas 30, Nays 1.</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1964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