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86R9937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1964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action on certain applications for an amendment to a water right.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11.122, Water Code, is amended by adding Subsection (b-3) to read as follows: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addition to an application that meets the requirements of Subsection (b) and for which the commission has determined that notice or an opportunity for a contested case hearing is not required under another statute or a commission rule, an application for an amendment to a water right is exempt from any requirements of a statute or commission rule regarding notice and hearing or technical review by the executive director or the commission and may not be referred to the State Office of Administrative Hearings for a contested case hearing if the executive director determines after an administrative review that the application is for an amendment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adds a purpose of use that does not substantially alter: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right from a right authorizing only nonconsumptive use to a right authorizing consumptive use;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pattern of use that is explicitly authorized in or required by the original right;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adds a place of use located in the same basin as the place of use authorized by the original right;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changes the point of diversion, provided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authorized rate of diversion is not increased;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original point of diversion and the new point of diversion are located in the same contiguous tract of land;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original point of diversion and the new point of diversion are from the same source of supply;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there are no points of diversion from the same source of supply associated with other water rights that are located between the original point of diversion and the new point of diversion;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there are no streamflow gauges located on the source of supply between the original point of diversion and the new point of diversion that are referenced in the original water right or in another water right authorizing a diversion from the same source of supply;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there are no tributary watercourses that enter the watercourse that is the source of supply located between the original point of diversion and the new point of diversion.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an application to amend a water right that is filed with the Texas Commission on Environmental Quality on or after the effective date of this Act or is pending as of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