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Larson</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1964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6,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 for action on certain applications for an amendment to a water right.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11.122, Water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an application that meets the requirements of Subsection (b) and for which the commission has determined that notice or an opportunity for a contested case hearing is not required under another statute or a commission rule, an application for an amendment to a water right is exempt from any requirements of a statute or commission rule regarding notice and hearing or technical review by the executive director or the commission and may not be referred to the State Office of Administrative Hearings for a contested case hearing if the executive director determines after an administrative review that the application is for an amendment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adds a purpose of use that does not substantially alter: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right from a right authorizing only nonconsumptive use to a right authorizing consumptive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use that is explicitly authorized in or required by the original right;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adds a place of use located in the same basin as the place of use authorized by the original right;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point of diversion,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authorized rate of diversion is not increased;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point of diversion and the new point of diversion are located in the same contiguous tract of land;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original point of diversion and the new point of diversion are from the same source of supply;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there are no points of diversion from the same source of supply associated with other water rights that are located between the original point of diversion and the new point of diversion;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there are no tributary watercourses that enter the watercourse that is the source of supply located between the original point of diversion and the new point of diversion.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application to amend a water right that is filed with the Texas Commission on Environmental Quality on or after the effective date of this Act or is pending as of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