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1968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treatment of craniofacial abnormalities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1367, Insurance Code, is amended by adding Section 1367.1535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1367.1535.</w:t>
      </w:r>
      <w:r>
        <w:rPr>
          <w:u w:val="single"/>
        </w:rPr>
        <w:t xml:space="preserve"> </w:t>
      </w:r>
      <w:r>
        <w:rPr>
          <w:u w:val="single"/>
        </w:rPr>
        <w:t xml:space="preserve"> </w:t>
      </w:r>
      <w:r>
        <w:rPr>
          <w:u w:val="single"/>
        </w:rPr>
        <w:t xml:space="preserve">COVERAGE FOR TREATMENT OF CRANIOFACIAL ABNORMALITIES.  A health benefit plan described by Section 1367.153 that provides coverage for reconstructive surgery for craniofacial abnormalities, as defined in accordance with that section, must provide coverage for the treatment of the primary conditions constituting craniofacial abnormalities and secondary conditions related to or arising from craniofacial abnormalities,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 and facial surgery, surgical management, and follow-up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prosthetic treatments, including obturators and speech and feeding appliances;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orthodontic treatment and management;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preventive and restorative dentistry to ensure good health and adequate dental structures for orthodontic treatment or prosthetic management or therapy;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speech-language pathology services, including evaluation and therapy;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audiological assessments and amplification devices;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otolaryngological treatment and management;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psychological assessment and counseling;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genetic assessment counseling for the parents and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2020.  A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