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86R6925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additional tax imposed on land appraised for ad valorem tax purposes as qualified open-space land if a change in use of the land occurs.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23.55(a),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two</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seven percent calculated from the dates on which the differences would have become due.  For purposes of this subsection, the chief appraiser may not consider any period during which land is owned by the state in determining whether a change in the use of the land has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change in the use of land appraised under Subchapter D, Chapter 23, Tax Code, that occurs on or after the effective date of this Act.  A change in the use of land appraised under Subchapter D, Chapter 23, Tax Code, that occurred before the effective date of this Act is governed by the law in effect on the date the change in use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