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86R10623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Collier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regulation of game rooms and amusement redemption machines.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234.140, Local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may not be construed to limit the authority of a home-rule municipality to enforce a zoning regulation adopted by the municipality to regulate game rooms or amusement redemption machines.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234, Local Government Code, is amended by adding Section 234.141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234.141.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INTERLOCAL AGREEMENT.  A county may enter into an interlocal agreement with a municipality to regulate the operation of game rooms or amusement redemption machines.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