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86R12021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H.B.</w:t>
      </w:r>
      <w:r xml:space="preserve">
        <w:t> </w:t>
      </w:r>
      <w:r>
        <w:t xml:space="preserve">No.</w:t>
      </w:r>
      <w:r xml:space="preserve">
        <w:t> </w:t>
      </w:r>
      <w:r>
        <w:t xml:space="preserve">1973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system by which an application for a low income housing tax credit is scored.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 </w:t>
      </w:r>
      <w:r>
        <w:rPr>
          <w:u w:val="single"/>
        </w:rPr>
        <w:t xml:space="preserve">if the proposed development is to be located in an unincorporated area that is part of an urban area, as that term was defined by the department on January 1, 2019</w:t>
      </w:r>
      <w:r>
        <w:t xml:space="preserv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 and</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2306.6718(b),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provide the elected officials with an opportunity to comment on the application during the application evaluation process [</w:t>
      </w:r>
      <w:r>
        <w:rPr>
          <w:strike/>
        </w:rPr>
        <w:t xml:space="preserve">provided by Section 2306.6710</w:t>
      </w:r>
      <w:r>
        <w:t xml:space="preserve">] and shall consider those comments in evaluating applications [</w:t>
      </w:r>
      <w:r>
        <w:rPr>
          <w:strike/>
        </w:rPr>
        <w:t xml:space="preserve">under that 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