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86R11957 JES-D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Cole</w:t>
      </w:r>
      <w:r xml:space="preserve">
        <w:tab wTab="150" tlc="none" cTlc="0"/>
      </w:r>
      <w:r>
        <w:t xml:space="preserve">H.B.</w:t>
      </w:r>
      <w:r xml:space="preserve">
        <w:t> </w:t>
      </w:r>
      <w:r>
        <w:t xml:space="preserve">No.</w:t>
      </w:r>
      <w:r xml:space="preserve">
        <w:t> </w:t>
      </w:r>
      <w:r>
        <w:t xml:space="preserve">1977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requirement that a fiscal impact statement be provided before a taxing unit may enter into a tax abatement agreement.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312, Tax Code, is amended by adding Section 312.008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312.008.</w:t>
      </w:r>
      <w:r>
        <w:rPr>
          <w:u w:val="single"/>
        </w:rPr>
        <w:t xml:space="preserve"> </w:t>
      </w:r>
      <w:r>
        <w:rPr>
          <w:u w:val="single"/>
        </w:rPr>
        <w:t xml:space="preserve"> </w:t>
      </w:r>
      <w:r>
        <w:rPr>
          <w:u w:val="single"/>
        </w:rPr>
        <w:t xml:space="preserve">FISCAL IMPACT STATEMENT.  (a)  Before entering into a tax abatement agreement under this chapter, a taxing unit shall prepare a fiscal impact statement that, specifically and in detail, assesses the direct economic impact that the tax abatement agreement would have on schools, transportation, and public safety in the county or municipality in which the reinvestment zone would be located under the tax abatement agreement.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comptroller shall adopt rules establishing the minimum requirements for a fiscal impact statement under this section.  The rules must require a taxing unit to provide the statement within a reasonable amount of time before the taxing unit enters into the applicable tax abatement agreement and in a manner that allows members of the general public to review the statement.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January 1, 2020, the comptroller of public accounts shall adopt rules necessary to implement Section 312.008, Tax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 tax abatement agreement entered into on or after January 1, 2020.</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1977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