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86R7331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certain changes in the use of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23.76(e), 23.79(d), or 23.85(d) must be sent by certified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w:t>
      </w:r>
      <w:r>
        <w:rPr>
          <w:strike/>
        </w:rPr>
        <w:t xml:space="preserve">C, D,</w:t>
      </w:r>
      <w:r>
        <w:t xml:space="preserve">] E, F, or G [</w:t>
      </w:r>
      <w:r>
        <w:rPr>
          <w:strike/>
        </w:rPr>
        <w:t xml:space="preserve">of this chapter</w:t>
      </w:r>
      <w:r>
        <w:t xml:space="preserve">] does not constitute a change of use of the property or diversion of the property to another use for purposes of the imposition of additional taxes under any of those subchapters.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23, Tax Code, is amended by adding Section 23.465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23.465.</w:t>
      </w:r>
      <w:r>
        <w:rPr>
          <w:u w:val="single"/>
        </w:rPr>
        <w:t xml:space="preserve"> </w:t>
      </w:r>
      <w:r>
        <w:rPr>
          <w:u w:val="single"/>
        </w:rPr>
        <w:t xml:space="preserve"> </w:t>
      </w:r>
      <w:r>
        <w:rPr>
          <w:u w:val="single"/>
        </w:rPr>
        <w:t xml:space="preserve">DETERMINATION OF CHANGE OF USE OF LAND.  A determination that the land has been diverted to a nonagricultural use is made by the chief appraiser.  For purposes of this section, the chief appraiser may not consider any period during which land is owned by the state in determining whether the land has been diverted to a nonagricultural use.  The chief appraiser shall deliver a notice of the determination to the owner of the land as soon as possible after making the determination and shall include in the notice an explanation of the owner's right to protest the 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23.524(e), Tax Code, as added by Chapter 44 (S.B. 1459),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23, Tax Code, is amended by adding Section 23.545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23.545.</w:t>
      </w:r>
      <w:r>
        <w:rPr>
          <w:u w:val="single"/>
        </w:rPr>
        <w:t xml:space="preserve"> </w:t>
      </w:r>
      <w:r>
        <w:rPr>
          <w:u w:val="single"/>
        </w:rPr>
        <w:t xml:space="preserve"> </w:t>
      </w:r>
      <w:r>
        <w:rPr>
          <w:u w:val="single"/>
        </w:rPr>
        <w:t xml:space="preserve">DETERMINATION OF CHANGE OF USE OF LAND.  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w:t>
      </w:r>
      <w:r>
        <w:rPr>
          <w:strike/>
        </w:rPr>
        <w:t xml:space="preserve">C, D,</w:t>
      </w:r>
      <w:r>
        <w:t xml:space="preserve">] E[</w:t>
      </w:r>
      <w:r>
        <w:rPr>
          <w:strike/>
        </w:rPr>
        <w:t xml:space="preserve">,</w:t>
      </w:r>
      <w:r>
        <w:t xml:space="preserve">] or H, Chapter 23, state the market value and the taxable value for purposes of deferred or additional taxation as provided by Section [</w:t>
      </w:r>
      <w:r>
        <w:rPr>
          <w:strike/>
        </w:rPr>
        <w:t xml:space="preserve">23.46, 23.55,</w:t>
      </w:r>
      <w:r>
        <w:t xml:space="preserve">] 23.76[</w:t>
      </w:r>
      <w:r>
        <w:rPr>
          <w:strike/>
        </w:rPr>
        <w:t xml:space="preserve">,</w:t>
      </w:r>
      <w:r>
        <w:t xml:space="preserve">] or 23.9807, as applicable;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C or D,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w:t>
      </w:r>
      <w:r>
        <w:t xml:space="preserve"> </w:t>
      </w:r>
      <w:r>
        <w:t xml:space="preserve">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23.46;</w:t>
      </w:r>
    </w:p>
    <w:p w:rsidR="003F3435" w:rsidRDefault="0032493E">
      <w:pPr>
        <w:spacing w:line="480" w:lineRule="auto"/>
        <w:ind w:firstLine="1440"/>
        <w:jc w:val="both"/>
      </w:pPr>
      <w:r>
        <w:t xml:space="preserve">(2)</w:t>
      </w:r>
      <w:r xml:space="preserve">
        <w:t> </w:t>
      </w:r>
      <w:r xml:space="preserve">
        <w:t> </w:t>
      </w:r>
      <w:r>
        <w:t xml:space="preserve">Sections 23.47(c) and (d);</w:t>
      </w:r>
    </w:p>
    <w:p w:rsidR="003F3435" w:rsidRDefault="0032493E">
      <w:pPr>
        <w:spacing w:line="480" w:lineRule="auto"/>
        <w:ind w:firstLine="1440"/>
        <w:jc w:val="both"/>
      </w:pPr>
      <w:r>
        <w:t xml:space="preserve">(3)</w:t>
      </w:r>
      <w:r xml:space="preserve">
        <w:t> </w:t>
      </w:r>
      <w:r xml:space="preserve">
        <w:t> </w:t>
      </w:r>
      <w:r>
        <w:t xml:space="preserve">Section 23.55; and</w:t>
      </w:r>
    </w:p>
    <w:p w:rsidR="003F3435" w:rsidRDefault="0032493E">
      <w:pPr>
        <w:spacing w:line="480" w:lineRule="auto"/>
        <w:ind w:firstLine="1440"/>
        <w:jc w:val="both"/>
      </w:pPr>
      <w:r>
        <w:t xml:space="preserve">(4)</w:t>
      </w:r>
      <w:r xml:space="preserve">
        <w:t> </w:t>
      </w:r>
      <w:r xml:space="preserve">
        <w:t> </w:t>
      </w:r>
      <w:r>
        <w:t xml:space="preserve">Sections 23.58(c) and (d).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of Sections 23.46 and 23.55, Tax Code, by this Act does not affect an additional tax imposed as a result of a sale or diversion to a nonagricultural use of land appraised under Subchapter C or a change of use of land appraised under Subchapter D, Chapter 23, Tax Code, that occurred before the effective date of this Act, and the former law is continued in effect for purposes of that tax.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