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86R7656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new open-enrollment charter school or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w:t>
      </w:r>
      <w:r xml:space="preserve">
        <w:t> </w:t>
      </w:r>
      <w:r>
        <w:rPr>
          <w:u w:val="single"/>
        </w:rPr>
        <w:t xml:space="preserve">(a)</w:t>
      </w:r>
      <w:r xml:space="preserve">
        <w:t> </w:t>
      </w:r>
      <w:r>
        <w:t xml:space="preserve">The commissioner by rule shall adopt a procedure for providing notice to the following persons on receipt by the commissioner of an application for a charter for an open-enrollment charter school under Section 12.110</w:t>
      </w:r>
      <w:r>
        <w:rPr>
          <w:u w:val="single"/>
        </w:rPr>
        <w:t xml:space="preserve">,</w:t>
      </w:r>
      <w:r>
        <w:t xml:space="preserve"> [</w:t>
      </w:r>
      <w:r>
        <w:rPr>
          <w:strike/>
        </w:rPr>
        <w:t xml:space="preserve">or of</w:t>
      </w:r>
      <w:r>
        <w:t xml:space="preserve">] notice of the establishment of a campus as authorized under Section 12.101(b-4)</w:t>
      </w:r>
      <w:r>
        <w:rPr>
          <w:u w:val="single"/>
        </w:rPr>
        <w:t xml:space="preserve">, or a request for approval of an expansion amendment to establish a new campus submitted under Section 12.114</w:t>
      </w:r>
      <w:r>
        <w:t xml:space="preserve">:</w:t>
      </w:r>
    </w:p>
    <w:p w:rsidR="003F3435" w:rsidRDefault="0032493E">
      <w:pPr>
        <w:spacing w:line="480" w:lineRule="auto"/>
        <w:ind w:firstLine="1440"/>
        <w:jc w:val="both"/>
      </w:pPr>
      <w:r>
        <w:t xml:space="preserve">(1)</w:t>
      </w:r>
      <w:r xml:space="preserve">
        <w:t> </w:t>
      </w:r>
      <w:r xml:space="preserve">
        <w:t> </w:t>
      </w:r>
      <w:r>
        <w:t xml:space="preserve">the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adopted under Subsection (a) must require the notice to identify the closest public school campus to the proposed location of the school or campus for each school district described by Subsection (a)(1) to assist the district in adequately anticipating any resulting changes in enrollment at any district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12.1101, Education Code, as amended by this Act, applies beginning with a new open-enrollment charter school or campus that is anticipated to open for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