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86R3709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Herrero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filing fees in connection with assumed named certificates for certain businesses owned by military veterans.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71.155(a-1), Business &amp; Commerce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The county clerk may waive all fees under Subsection (a) for a registrant </w:t>
      </w:r>
      <w:r>
        <w:rPr>
          <w:u w:val="single"/>
        </w:rPr>
        <w:t xml:space="preserve">if the registrant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individual who is a military veteran, as defined by Section 55.001, Occupations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business entity that does not have more than five employees and is owned by at least one individual</w:t>
      </w:r>
      <w:r>
        <w:t xml:space="preserve"> who is a military veteran.  [</w:t>
      </w:r>
      <w:r>
        <w:rPr>
          <w:strike/>
        </w:rPr>
        <w:t xml:space="preserve">In this subsection, "military veteran" has the meaning assigned by Section 55.001, Occupations Code.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