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86R6098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administrative violations committed by certified self-insurer administrators under the Texas Workers' Compensation Act;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415.002, Labor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of a contract entered into under Section 4151.253, Insurance Code, an administrator, as defined by Section 4151.001 of that code, commits an administrative violation under Subsection (a) if the administrator: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under contract with a certified self-insurer;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 the course of administering a claim on behalf of the certified self-insurer.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self-insurer may not be charged with an administrative violation under Subsection (a) if the conduct that is the subject of the violation was engaged in by an administrator, as defined by Section 4151.001, Insurance Code, of the certified self-insurer, unless the certified self-insurer directed the administrator to engage in that 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415.002(c) and (d), Labor Code, as added by this Act, apply only to an administrative violation committed on or after the effective date of this Act.  An administrative violation committed before the effective date of this Act is governed by the law in effect on the date the administrative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