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86R20134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 Oliverson</w:t>
      </w:r>
      <w:r xml:space="preserve">
        <w:tab wTab="150" tlc="none" cTlc="0"/>
      </w:r>
      <w:r>
        <w:t xml:space="preserve">H.B.</w:t>
      </w:r>
      <w:r xml:space="preserve">
        <w:t> </w:t>
      </w:r>
      <w:r>
        <w:t xml:space="preserve">No.</w:t>
      </w:r>
      <w:r xml:space="preserve">
        <w:t> </w:t>
      </w:r>
      <w:r>
        <w:t xml:space="preserve">1986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1986:</w:t>
      </w: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C.S.H.B.</w:t>
      </w:r>
      <w:r xml:space="preserve">
        <w:t> </w:t>
      </w:r>
      <w:r>
        <w:t xml:space="preserve">No.</w:t>
      </w:r>
      <w:r xml:space="preserve">
        <w:t> </w:t>
      </w:r>
      <w:r>
        <w:t xml:space="preserve">1986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compatibility of a high-speed rail facility with multiple types of train technology.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112, Transportation Code, is amended by adding Section 112.063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112.063.</w:t>
      </w:r>
      <w:r>
        <w:rPr>
          <w:u w:val="single"/>
        </w:rPr>
        <w:t xml:space="preserve"> </w:t>
      </w:r>
      <w:r>
        <w:rPr>
          <w:u w:val="single"/>
        </w:rPr>
        <w:t xml:space="preserve"> </w:t>
      </w:r>
      <w:r>
        <w:rPr>
          <w:u w:val="single"/>
        </w:rPr>
        <w:t xml:space="preserve">HIGH-SPEED RAIL TECHNOLOGIES.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"High-speed rail" means passenger service that is reasonably expected to reach speeds of at least 110 miles per hour.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"Rail facility"</w:t>
      </w:r>
      <w:r>
        <w:rPr>
          <w:u w:val="single"/>
        </w:rPr>
        <w:t xml:space="preserve"> </w:t>
      </w:r>
      <w:r>
        <w:rPr>
          <w:u w:val="single"/>
        </w:rPr>
        <w:t xml:space="preserve">has the meaning assigned by Section 91.001.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entity that constructs a rail facility for high-speed rail service shall ensure that the rail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minimum, complies with regulations for that type of rail facility adopted by the Federal Railroad Administration in 49 C.F.R. Chapter II in effect on January 31, 2019, regardless of whether the rail facility is an intrastate or interstate facility or whether a waiver of federal law has been granted for the rail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compatible with train technology that exists at the time construction begins;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interfere with the use of other rail facilities or train technologies in use at the time construction begins.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adopt rules as necessary to implement this section.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