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86R20076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1987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1987:</w:t>
      </w: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C.S.H.B.</w:t>
      </w:r>
      <w:r xml:space="preserve">
        <w:t> </w:t>
      </w:r>
      <w:r>
        <w:t xml:space="preserve">No.</w:t>
      </w:r>
      <w:r xml:space="preserve">
        <w:t> </w:t>
      </w:r>
      <w:r>
        <w:t xml:space="preserve">1987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requirements regarding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2206.154, Government Code, is amended by amending Subsection (c) and adding Subsections (d) and (e) to read as follows:</w:t>
      </w:r>
    </w:p>
    <w:p w:rsidR="003F3435" w:rsidRDefault="0032493E">
      <w:pPr>
        <w:spacing w:line="480" w:lineRule="auto"/>
        <w:ind w:firstLine="720"/>
        <w:jc w:val="both"/>
      </w:pPr>
      <w:r>
        <w:t xml:space="preserve">(c)</w:t>
      </w:r>
      <w:r xml:space="preserve">
        <w:t> </w:t>
      </w:r>
      <w:r xml:space="preserve">
        <w:t> </w:t>
      </w:r>
      <w:r>
        <w:t xml:space="preserve">In addition to the annual report required under Subsection (a), an entity described by Section 2206.151 shall report to the comptroller any changes to the entity's eminent domain authority information reported under this section not later than the 90th day after the date on which the change occurred</w:t>
      </w:r>
      <w:r>
        <w:rPr>
          <w:u w:val="single"/>
        </w:rPr>
        <w:t xml:space="preserve">, except as provided by Subsection (d)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a proceeding in a state court of competent jurisdiction, the court finds that an entity that claimed in a report submitted to the comptroller under Subsection (a) to have eminent domain authority does not have eminent domain authority, the entity shall report the court's finding to the comptroller not later than the 30th day after the date the proceeding is completed.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entity reports a finding under Subsection (d), the comptroller as soon as practicable after receiving the information shall reflect the finding in the eminent domain database by including the entity on a separately maintained list of entities that a court has found do not have eminent domain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