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86R6250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1987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regarding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2206.154, Government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In addition to the annual report required under Subsection (a), an entity described by Section 2206.151 shall report to the comptroller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any changes to the entity's eminent domain authority information reported under this section not later than the 90th day after the date on which the change occurred</w:t>
      </w:r>
      <w:r>
        <w:rPr>
          <w:u w:val="single"/>
        </w:rPr>
        <w:t xml:space="preserve">, except as provided by Subdivision (3);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court proceeding filed to determine the validity or extent of the entity's eminent domain authority not later than the 30th day after the date the proceeding is filed, including the number and style of the proceeding and the court in which the proceeding is pending;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outcome of the court proceeding reported under Subdivision (2) not later than the 30th day after the date the proceeding is completed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entity reports information under Subsection (c)(2), the comptroller shall reflect the entity's challenged eminent domain status by including the entity on a separately maintained list of entities with challenged status and in any other manner determined appropriate by the comptroller. </w:t>
      </w:r>
      <w:r>
        <w:rPr>
          <w:u w:val="single"/>
        </w:rPr>
        <w:t xml:space="preserve"> </w:t>
      </w:r>
      <w:r>
        <w:rPr>
          <w:u w:val="single"/>
        </w:rPr>
        <w:t xml:space="preserve">The separately maintained list required under this subsection must include with respect to each entity the information reported by the entity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receiving information reported under Subsection (c)(3), the comptroller shall update the information in the eminent domain database as the comptroller determines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