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86R6178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commissioners court approval of a proposed county road alteration for high-speed rail construction.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112.057, Transportation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private entity may not begin construction of a high-speed rail project in a county in which the construction would alter a county road unless the alteration is approved by the commissioners court of that county. </w:t>
      </w:r>
      <w:r>
        <w:rPr>
          <w:u w:val="single"/>
        </w:rPr>
        <w:t xml:space="preserve"> </w:t>
      </w:r>
      <w:r>
        <w:rPr>
          <w:u w:val="single"/>
        </w:rPr>
        <w:t xml:space="preserve">In this subsection, "high-speed rail"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112.201.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