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86R11972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psychological associates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1451.001(18), Insurance Code, is amended to read as follows:</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State Board of Examiners of Psychologists [</w:t>
      </w:r>
      <w:r>
        <w:rPr>
          <w:strike/>
        </w:rPr>
        <w:t xml:space="preserve">who practices solely under the supervision of a licensed psychologist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