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86R5530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telemarketers from transmitting misleading caller identification information or otherwise misrepresenting the origin of a telemarketing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304.151, Business &amp; Commerce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telemarketer may not:</w:t>
      </w:r>
    </w:p>
    <w:p w:rsidR="003F3435" w:rsidRDefault="0032493E">
      <w:pPr>
        <w:spacing w:line="480" w:lineRule="auto"/>
        <w:ind w:firstLine="1440"/>
        <w:jc w:val="both"/>
      </w:pPr>
      <w:r>
        <w:t xml:space="preserve">(1)</w:t>
      </w:r>
      <w:r xml:space="preserve">
        <w:t> </w:t>
      </w:r>
      <w:r xml:space="preserve">
        <w:t> </w:t>
      </w:r>
      <w:r>
        <w:t xml:space="preserve">interfere with or circumvent the capability of a caller identification service or device to access or provide to the recipient of the telemarketing call any information regarding the call that the service or device is capable of providing;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fail to provide caller identification information in a manner that is accessible by a caller identification service or device, if the telemarketer is capable of providing the information in that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 misleading information to be transmitted to a recipient's caller identification service or device or to otherwise misrepresent the origin of a telemarketing call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telemarketer does not violate Subsection (b)(3) if the telemarketer substitutes the name and telephone number of the person on whose behalf the call is made for the telemarketer's name and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