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86R8853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1995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to the Texas Racing Commission of certain money deducted from simulcast pari-mutuel pools.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2028.202(a),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racetrack association shall distribute from the total amount deducted as provided by Sections 2028.101 and 2028.152 from each simulcast pari-mutuel pool and each simulcast cross-species pari-mutuel pool the following shares:</w:t>
      </w:r>
    </w:p>
    <w:p w:rsidR="003F3435" w:rsidRDefault="0032493E">
      <w:pPr>
        <w:spacing w:line="480" w:lineRule="auto"/>
        <w:ind w:firstLine="1440"/>
        <w:jc w:val="both"/>
      </w:pPr>
      <w:r>
        <w:t xml:space="preserve">(1)</w:t>
      </w:r>
      <w:r xml:space="preserve">
        <w:t> </w:t>
      </w:r>
      <w:r xml:space="preserve">
        <w:t> </w:t>
      </w:r>
      <w:r>
        <w:t xml:space="preserve">an amount equal to one percent of each simulcast pari-mutuel pool </w:t>
      </w:r>
      <w:r>
        <w:rPr>
          <w:u w:val="single"/>
        </w:rPr>
        <w:t xml:space="preserve">to the commission for the administration of this subtitle</w:t>
      </w:r>
      <w:r>
        <w:t xml:space="preserve"> [</w:t>
      </w:r>
      <w:r>
        <w:rPr>
          <w:strike/>
        </w:rPr>
        <w:t xml:space="preserve">as the amount set aside for this state</w:t>
      </w:r>
      <w:r>
        <w:t xml:space="preserve">];</w:t>
      </w:r>
    </w:p>
    <w:p w:rsidR="003F3435" w:rsidRDefault="0032493E">
      <w:pPr>
        <w:spacing w:line="480" w:lineRule="auto"/>
        <w:ind w:firstLine="1440"/>
        <w:jc w:val="both"/>
      </w:pPr>
      <w:r>
        <w:t xml:space="preserve">(2)</w:t>
      </w:r>
      <w:r xml:space="preserve">
        <w:t> </w:t>
      </w:r>
      <w:r xml:space="preserve">
        <w:t> </w:t>
      </w:r>
      <w:r>
        <w:t xml:space="preserve">an amount equal to 1.25 percent of each simulcast cross-species pari-mutuel pool </w:t>
      </w:r>
      <w:r>
        <w:rPr>
          <w:u w:val="single"/>
        </w:rPr>
        <w:t xml:space="preserve">to the commission for the administration of this subtitle</w:t>
      </w:r>
      <w:r>
        <w:t xml:space="preserve"> [</w:t>
      </w:r>
      <w:r>
        <w:rPr>
          <w:strike/>
        </w:rPr>
        <w:t xml:space="preserve">as the amount set aside for this state</w:t>
      </w:r>
      <w:r>
        <w:t xml:space="preserve">];</w:t>
      </w:r>
    </w:p>
    <w:p w:rsidR="003F3435" w:rsidRDefault="0032493E">
      <w:pPr>
        <w:spacing w:line="480" w:lineRule="auto"/>
        <w:ind w:firstLine="1440"/>
        <w:jc w:val="both"/>
      </w:pPr>
      <w:r>
        <w:t xml:space="preserve">(3)</w:t>
      </w:r>
      <w:r xml:space="preserve">
        <w:t> </w:t>
      </w:r>
      <w:r xml:space="preserve">
        <w:t> </w:t>
      </w:r>
      <w:r>
        <w:t xml:space="preserve">for a horse racetrack association, an amount equal to one percent of a multiple two wagering pool or multiple three wagering pool as the amount set aside for the Texas-bred program to be used as provided by Section 2028.103;</w:t>
      </w:r>
    </w:p>
    <w:p w:rsidR="003F3435" w:rsidRDefault="0032493E">
      <w:pPr>
        <w:spacing w:line="480" w:lineRule="auto"/>
        <w:ind w:firstLine="1440"/>
        <w:jc w:val="both"/>
      </w:pPr>
      <w:r>
        <w:t xml:space="preserve">(4)</w:t>
      </w:r>
      <w:r xml:space="preserve">
        <w:t> </w:t>
      </w:r>
      <w:r xml:space="preserve">
        <w:t> </w:t>
      </w:r>
      <w:r>
        <w:t xml:space="preserve">for a greyhound racetrack association, an amount equal to one percent of a multiple two wagering pool or a multiple three wagering pool as the amount set aside for the Texas-bred program for greyhound races, to be distributed and used in accordance with commission rules adopted to promote greyhound breeding in this state; and</w:t>
      </w:r>
    </w:p>
    <w:p w:rsidR="003F3435" w:rsidRDefault="0032493E">
      <w:pPr>
        <w:spacing w:line="480" w:lineRule="auto"/>
        <w:ind w:firstLine="1440"/>
        <w:jc w:val="both"/>
      </w:pPr>
      <w:r>
        <w:t xml:space="preserve">(5)</w:t>
      </w:r>
      <w:r xml:space="preserve">
        <w:t> </w:t>
      </w:r>
      <w:r xml:space="preserve">
        <w:t> </w:t>
      </w:r>
      <w:r>
        <w:t xml:space="preserve">the remainder as the amount set aside for purses, expenses, the sending track, and the receiving location under a contract approved by the commission between the sending track and the receiving location.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applies to the deduction from a pari-mutuel pool for a race conducted by a racetrack association on or after the effective date of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Texas Racing Commission shall revise existing rules or adopt new rules as necessary to comply with Section 2028.202(a),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