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86R7998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reporting by a school district regarding the costs associated with administering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39.083,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information required by Subsection (b), the annual financial management report must include a description of the district's total expenses related to administering an assessment instrument required under Section 39.023, as determined in accordance with the methodology established by the agency for calculating total expenses.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