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86R5757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dismissal of certain actions relating to Medicaid fraud.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36.102, Human Resources Code, is amended to read as follows:</w:t>
      </w:r>
    </w:p>
    <w:p w:rsidR="003F3435" w:rsidRDefault="0032493E">
      <w:pPr>
        <w:spacing w:line="480" w:lineRule="auto"/>
        <w:ind w:firstLine="720"/>
        <w:jc w:val="both"/>
      </w:pPr>
      <w:r>
        <w:t xml:space="preserve">Sec.</w:t>
      </w:r>
      <w:r xml:space="preserve">
        <w:t> </w:t>
      </w:r>
      <w:r>
        <w:t xml:space="preserve">36.102.</w:t>
      </w:r>
      <w:r xml:space="preserve">
        <w:t> </w:t>
      </w:r>
      <w:r xml:space="preserve">
        <w:t> </w:t>
      </w:r>
      <w:r>
        <w:t xml:space="preserve">INITIATION OF ACTION</w:t>
      </w:r>
      <w:r>
        <w:rPr>
          <w:u w:val="single"/>
        </w:rPr>
        <w:t xml:space="preserve">; CONSENT REQUIRED FOR DISMISSAL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36.102(e), Human Resources Code, is amended to read as follows:</w:t>
      </w:r>
    </w:p>
    <w:p w:rsidR="003F3435" w:rsidRDefault="0032493E">
      <w:pPr>
        <w:spacing w:line="480" w:lineRule="auto"/>
        <w:ind w:firstLine="720"/>
        <w:jc w:val="both"/>
      </w:pPr>
      <w:r>
        <w:t xml:space="preserve">(e)</w:t>
      </w:r>
      <w:r xml:space="preserve">
        <w:t> </w:t>
      </w:r>
      <w:r xml:space="preserve">
        <w:t> </w:t>
      </w:r>
      <w:r>
        <w:t xml:space="preserve">An action under this subchapter may be dismissed [</w:t>
      </w:r>
      <w:r>
        <w:rPr>
          <w:strike/>
        </w:rPr>
        <w:t xml:space="preserve">before the end of the period during which the petition remains under seal</w:t>
      </w:r>
      <w:r>
        <w:t xml:space="preserve">] only if the court and the attorney general consent in writing to the dismissal and state their reasons for consenting.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action brought on or after the effective date of this Act.  An action brought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