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86R20669 JCG-F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Thierry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2018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2018: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Craddick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2018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required notice for municipal management districts that annex or exclude territory.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375.043,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375.043.</w:t>
      </w:r>
      <w:r xml:space="preserve">
        <w:t> </w:t>
      </w:r>
      <w:r xml:space="preserve">
        <w:t> </w:t>
      </w:r>
      <w:r>
        <w:t xml:space="preserve">ANNEXATION</w:t>
      </w:r>
      <w:r>
        <w:rPr>
          <w:u w:val="single"/>
        </w:rPr>
        <w:t xml:space="preserve">; NOTICE OF BOUNDARIES</w:t>
      </w:r>
      <w:r>
        <w:t xml:space="preserve">. </w:t>
      </w:r>
      <w:r>
        <w:t xml:space="preserve"> </w:t>
      </w:r>
      <w:r>
        <w:rPr>
          <w:u w:val="single"/>
        </w:rPr>
        <w:t xml:space="preserve">(a)</w:t>
      </w:r>
      <w:r>
        <w:t xml:space="preserve"> </w:t>
      </w:r>
      <w:r>
        <w:t xml:space="preserve"> </w:t>
      </w:r>
      <w:r>
        <w:t xml:space="preserve">A district may annex land as provided by Section 49.301 and Chapter 54, Water Code, subject to the approval of the governing body of the municipality.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later than the 90th day after the date a district annexes land under Subsection (a), the district shall provide a description of the metes and bounds of the district, as of the date the annexation takes effect, to each municipality that, on the date the annexation takes effect: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territory that overlaps with the district's territory;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adjacent to the district.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district is not required to provide the description of the metes and bounds required under Subsection (b) to a municipality that has waived in writing the municipality's right to the description.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375.044,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375.044.</w:t>
      </w:r>
      <w:r xml:space="preserve">
        <w:t> </w:t>
      </w:r>
      <w:r xml:space="preserve">
        <w:t> </w:t>
      </w:r>
      <w:r>
        <w:t xml:space="preserve">EXCLUDING TERRITORY</w:t>
      </w:r>
      <w:r>
        <w:rPr>
          <w:u w:val="single"/>
        </w:rPr>
        <w:t xml:space="preserve">; NOTICE OF BOUNDARIES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375.044, Local Government Code, is amended by adding Subsections (c) and (d)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later than the 90th day after the date a district excludes land under this section, the district shall provide a description of the metes and bounds of the district, as of the date the exclusion takes effect, to each municipality that, on the date the exclusion takes effect: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territory that overlaps with the district's territory;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adjacent to the district.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district is not required to provide the description of the metes and bounds required under Subsection (c) to a municipality that has waived in writing the municipality's right to the description.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2018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