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86R27502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Harris</w:t>
      </w:r>
      <w:r xml:space="preserve">
        <w:tab wTab="150" tlc="none" cTlc="0"/>
      </w:r>
      <w:r>
        <w:t xml:space="preserve">H.B.</w:t>
      </w:r>
      <w:r xml:space="preserve">
        <w:t> </w:t>
      </w:r>
      <w:r>
        <w:t xml:space="preserve">No.</w:t>
      </w:r>
      <w:r xml:space="preserve">
        <w:t> </w:t>
      </w:r>
      <w:r>
        <w:t xml:space="preserve">2020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2020:</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defendants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Code of Criminal Procedure, is amended by adding Articles 17.021 and 17.027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BAIL ADVISORY COMMISSION.  (a)  The Bail Advisory Commission is established to develop recommendations for the Texas Judicial Council regarding a validated pretrial risk assessment tool that is standardized for statewide use and regarding best practices for personal bond offices.  The recommendations must include a validated pretrial risk assessment tool that is developed as described by Subsection (h).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11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with an interest in criminal justice who are appointed by the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person with at least 10 years of law enforcement experience;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attorney licensed to practice law in this state who has practiced primarily in the area of criminal defense for at least 10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attorney licensed to practice law in this state who has practiced criminal law in the office of an attorney representing the state for at least 10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Senate Committee on Criminal Justice;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senate who are appointed by the lieutenant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House Committee on Criminal Jurisprudence;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members of the house of representatives who are appointed by the speaker of the house of representatives;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chief justice of the supreme court;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presiding judge of the court of criminal appeals.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(3), and (5), the governor, lieutenant governor, and speaker of the house of representatives shall coordinate to ensure that the membership of the commission reflects, to the extent possible, the ethnic, racial, and geographic diversity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the presiding officer of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meet at the call of the presiding officer and may hold public meetings as necessary to fulfill its duties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commission is not entitled to compensation for service on the commission but is entitled to reimbursement for actual and necessary expenses incurred in performing commission duties.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provide administrative support for the commission.  Funding for the administrative and operational expenses of the commission, including any contracts or other engagements necessary for the development of a recommended validated pretrial risk assessment tool as described by Subsection (h)(1), shall be provided through an appropriation to the Office of Court Administration for that purpose.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in coordination with the Office of Court Administration of the Texas Judicial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recommended validated pretrial risk assessment tool that is standardized for statewide use, that is available for use for purposes of Article 17.15(a)(6),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objective, validated for its intended use, and standardized;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based on an analysis of empirical data and risk factors relevant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risk of a defendant failing to appear in court as required;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safety of the community or the victim of the alleged offense if the defendant is released;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consider factors that disproportionately affect persons who are members of racial or ethnic minority groups or who are socioeconomically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recommendations regarding best practices for personal bond offices to use for pretrial services authorized by Article 17.42;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and analyze information related to pretrial release practices and distribute the analyses and information as a resource to courts, personal bond offices, and other relevant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information relating to defendants released on bail, including the rate of failure to appear, commission of new offenses, and other relevant information.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March 1, 2020, the commission shall prepare a report containing the recommendations of the commission developed under this article, including the commission's recommended validated pretrial risk assessment tool, and shall deliver the report to the governor, the lieutenant governor, each member of the legislature, the chief justice of the supreme court, the presiding judge of the court of criminal appeals, and the Texas Judicial Council.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Judicial Council shall review the report and may recommend to the commission changes to the tool consistent with the requirements of Subsection (h)(1).  Any recommended changes must be submitted to the commission not later than June 1, 2020.  If the council recommends changes to the tool, the commission shall revise the tool in accordance with the recommendations, prepare a report containing the recommended tool as revised, and deliver the report to the persons and entities listed in Subsection (i) not later than August 1, 2020.</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August 31, 2020, the Texas Judicial Council shall adopt either the validated pretrial risk assessment tool recommended by the commission under Subsection (i) or the revised tool recommended by the commission under Subsection (j).</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Office of Court Administration of the Texas Judicial System shall provide the validated pretrial risk assessment tool adopted under Subsection (k) to magistrates in this state at no cost.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 later than January 1, 2023, the commission shall prepare a report regarding the implementation and use of the validated pretrial risk assessment tool adopted under Subsection (k) and its effect on pretrial recidivism rates and the rates at which defendants failed to appear in court as required and shall deliver the report to the governor, the lieutenant governor, each member of the legislature, the chief justice of the supreme court, the presiding judge of the court of criminal appeals, and the Texas Judicial Council.</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is abolished effective September 1, 2023.</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AUTHORITY TO RELEASE ON BAIL IN CERTAIN CASES.  (a) </w:t>
      </w:r>
      <w:r>
        <w:rPr>
          <w:u w:val="single"/>
        </w:rPr>
        <w:t xml:space="preserve"> </w:t>
      </w:r>
      <w:r>
        <w:rPr>
          <w:u w:val="single"/>
        </w:rPr>
        <w:t xml:space="preserve">Notwithstanding any other law and except as provided by Article 17.03(b), only a magistrate who meets the qualifications described by Subsection (b) may release on bail a defendant charged with an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Chapter 21 or 22, Penal Code, that is punishable as a Class B misdemeanor or any higher category of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to release on bail a defendant described by Subsection (a), a magistrate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one of the counties in which the magistrate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have been removed from office by impeachment, by the supreme court, by the governor on address to the legislature, by a tribunal reviewing a recommendation of the State Commission on Judicial Conduct, or by the legislature's abolition of the magistrate's court;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have resigned from office after having received notice that formal proceedings by the State Commission on Judicial Conduct had been instituted as provided by Section 33.022, Government Code, and before final disposition of the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PRETRIAL RISK ASSESSMENT. </w:t>
      </w:r>
      <w:r>
        <w:rPr>
          <w:u w:val="single"/>
        </w:rPr>
        <w:t xml:space="preserve"> </w:t>
      </w:r>
      <w:r>
        <w:rPr>
          <w:u w:val="single"/>
        </w:rPr>
        <w:t xml:space="preserve">(a) </w:t>
      </w:r>
      <w:r>
        <w:rPr>
          <w:u w:val="single"/>
        </w:rPr>
        <w:t xml:space="preserve"> </w:t>
      </w:r>
      <w:r>
        <w:rPr>
          <w:u w:val="single"/>
        </w:rPr>
        <w:t xml:space="preserve">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validated pretrial risk assessment tool described by Article 17.15(a)(6) to conduct a pretrial risk assessment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assessment be provided to the magistrate within 48 hours of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conduct a pretrial risk assessment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conduct a pretrial risk assessment using the validated pretrial risk assessment tool described by Article 17.15(a)(6).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 consider the results of the pretrial risk assessment before making a bail decision.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w:t>
      </w:r>
      <w:r>
        <w:t xml:space="preserve"> </w:t>
      </w:r>
      <w:r>
        <w:t xml:space="preserve">The amount of bail to be required in any case is to be regulated by the court, judge, magistrate</w:t>
      </w:r>
      <w:r>
        <w:rPr>
          <w:u w:val="single"/>
        </w:rPr>
        <w:t xml:space="preserve">,</w:t>
      </w:r>
      <w:r>
        <w:t xml:space="preserve"> or officer taking the bail </w:t>
      </w:r>
      <w:r>
        <w:rPr>
          <w:u w:val="single"/>
        </w:rPr>
        <w:t xml:space="preserve">in accordance with Articles 17.20, 17.21, and 17.22 and is</w:t>
      </w:r>
      <w:r>
        <w:t xml:space="preserve"> [</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including acts of family violence, shall</w:t>
      </w:r>
      <w:r>
        <w:t xml:space="preserve"> [</w:t>
      </w:r>
      <w:r>
        <w:rPr>
          <w:strike/>
        </w:rPr>
        <w:t xml:space="preserve">are to</w:t>
      </w:r>
      <w:r>
        <w:t xml:space="preserve">]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w:t>
      </w:r>
      <w:r>
        <w:rPr>
          <w:u w:val="single"/>
        </w:rPr>
        <w:t xml:space="preserve">shall</w:t>
      </w:r>
      <w:r>
        <w:t xml:space="preserve"> </w:t>
      </w:r>
      <w:r>
        <w:t xml:space="preserve">[</w:t>
      </w:r>
      <w:r>
        <w:rPr>
          <w:strike/>
        </w:rPr>
        <w:t xml:space="preserve">is to</w:t>
      </w:r>
      <w:r>
        <w:t xml:space="preserve">] be </w:t>
      </w:r>
      <w:r>
        <w:rPr>
          <w:u w:val="single"/>
        </w:rPr>
        <w:t xml:space="preserve">considered</w:t>
      </w:r>
      <w:r>
        <w:t xml:space="preserve"> </w:t>
      </w:r>
      <w:r>
        <w:t xml:space="preserve">[</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a victim of the alleged offense</w:t>
      </w:r>
      <w:r>
        <w:rPr>
          <w:u w:val="single"/>
        </w:rPr>
        <w:t xml:space="preserve">, peace officers,</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a pretrial risk assessment conducted using the validated pretrial risk assessment tool adopted for statewide use under Article 17.021(k) shall be considered.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facts or circumstances may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w:t>
      </w:r>
      <w:r>
        <w:rPr>
          <w:u w:val="single"/>
        </w:rPr>
        <w:t xml:space="preserve"> </w:t>
      </w:r>
      <w:r>
        <w:rPr>
          <w:u w:val="single"/>
        </w:rPr>
        <w:t xml:space="preserve">has the meaning assigned by Section 71.004,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but not later than September 1, 2020, the Office of Court Administration of the Texas Judicial System shall make available on the office's Internet website the validated pretrial risk assessment tool adopted under Article 17.021(k), Code of Criminal Procedure, as added by this Act, and any related forms and materials. If those items are made available before September 1, 2020,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Except as provided by Subsection (b) of this section, the changes in law made by this Act apply only to a person who is arrested on or after September 1, 2020.</w:t>
      </w:r>
    </w:p>
    <w:p w:rsidR="003F3435" w:rsidRDefault="0032493E">
      <w:pPr>
        <w:spacing w:line="480" w:lineRule="auto"/>
        <w:ind w:firstLine="720"/>
        <w:jc w:val="both"/>
      </w:pPr>
      <w:r>
        <w:t xml:space="preserve">(b)</w:t>
      </w:r>
      <w:r xml:space="preserve">
        <w:t> </w:t>
      </w:r>
      <w:r xml:space="preserve">
        <w:t> </w:t>
      </w:r>
      <w:r>
        <w:t xml:space="preserve">Article 17.027, Code of Criminal Procedure, as added by this Act, applies to a person who is arrested on or after September 1, 2019.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Sections 2, 5, and 6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