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86R10393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2022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school student's right not to participate in or observe animal research.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25, Education Code, is amended by adding Section 25.904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25.904.</w:t>
      </w:r>
      <w:r>
        <w:rPr>
          <w:u w:val="single"/>
        </w:rPr>
        <w:t xml:space="preserve"> </w:t>
      </w:r>
      <w:r>
        <w:rPr>
          <w:u w:val="single"/>
        </w:rPr>
        <w:t xml:space="preserve"> </w:t>
      </w:r>
      <w:r>
        <w:rPr>
          <w:u w:val="single"/>
        </w:rPr>
        <w:t xml:space="preserve">STUDENT RIGHTS REGARDING ANIMAL RESEARCH.  (a) </w:t>
      </w:r>
      <w:r>
        <w:rPr>
          <w:u w:val="single"/>
        </w:rPr>
        <w:t xml:space="preserve"> </w:t>
      </w:r>
      <w:r>
        <w:rPr>
          <w:u w:val="single"/>
        </w:rPr>
        <w:t xml:space="preserve">In this section, "animal research" means any instruction that involves the use of a deceased animal or harm to a living animal, including dissection, vivisection, incubation, capture, surgery, or any other procedure that is invasive or may result in the animal's death.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adopt a policy allowing students enrolled in the district to elect not to participate in or observe all or any part of animal research required or offered as part of any course. </w:t>
      </w:r>
      <w:r>
        <w:rPr>
          <w:u w:val="single"/>
        </w:rPr>
        <w:t xml:space="preserve"> </w:t>
      </w:r>
      <w:r>
        <w:rPr>
          <w:u w:val="single"/>
        </w:rPr>
        <w:t xml:space="preserve">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 student to make the election at any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penalizing or discriminating against a student in any manner for electing not to participate in or observe the research;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teacher of a course in which animal research is required or offered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 each student enrolled in the course regarding the research and the policy adopted under this subsection: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first instructional day of the course;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research will occur more than 21 days after the first instructional day of the course, not later than the 21st day before the date on which the research will occur;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a student who elects not to participate in or observe the research an alternative assignment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does not involve harm to an animal;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provides the student with the information the student is intended to learn from participating in or observing the research or, if the research is required as part of a test, assesses the student's knowledge of that information in an alternative manner;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substantially similar to the research in regard to the amount of time and effort necessary for completion;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uses a grading method comparable to the grading method used for the research.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alternative assignment provided under Subsection (b)(3)(B) may involve the use of video recordings, models, books, photographs, simulations, live observations in the wild or in a zoo, or other tools that enable a student to learn about an animal's anatomy, physiology, or life cycle by a method other than animal research.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the beginning of each school year, a school district shall provide to each student enrolled in the district and each teacher who teaches a course in which animal research is required or offered written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regarding the policy adopted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each course in which animal research is required or offered in that school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