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86R6302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survival of a mechanic's retainage lien after the foreclosure of a lien securing a construction loan.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53, Property Code, is amended by adding Section 53.125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53.125.</w:t>
      </w:r>
      <w:r>
        <w:rPr>
          <w:u w:val="single"/>
        </w:rPr>
        <w:t xml:space="preserve"> </w:t>
      </w:r>
      <w:r>
        <w:rPr>
          <w:u w:val="single"/>
        </w:rPr>
        <w:t xml:space="preserve"> </w:t>
      </w:r>
      <w:r>
        <w:rPr>
          <w:u w:val="single"/>
        </w:rPr>
        <w:t xml:space="preserve">SURVIVAL OF RETAINAGE LIEN AFTER CERTAIN FORECLOSURES. </w:t>
      </w:r>
      <w:r>
        <w:rPr>
          <w:u w:val="single"/>
        </w:rPr>
        <w:t xml:space="preserve"> </w:t>
      </w:r>
      <w:r>
        <w:rPr>
          <w:u w:val="single"/>
        </w:rPr>
        <w:t xml:space="preserve">(a) </w:t>
      </w:r>
      <w:r>
        <w:rPr>
          <w:u w:val="single"/>
        </w:rPr>
        <w:t xml:space="preserve"> </w:t>
      </w:r>
      <w:r>
        <w:rPr>
          <w:u w:val="single"/>
        </w:rPr>
        <w:t xml:space="preserve">A  person who purchases property that is sold due to the foreclosure of a lien that secures a financing agreement or loan to pay for the construction or repair of an improvement to real property takes the property subject to an unreleased retainage lien established under Section 53.105.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"retainage" includes retainage under Subchapter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lien related to an original contract entered into on or after the effective date of this Act.  A lien related to an original contract entered into before the effective date of this Act is governed by the law applicable to the lien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