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86R7688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2029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automatic enrollment of certain women in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531.09971.</w:t>
      </w:r>
      <w:r>
        <w:rPr>
          <w:u w:val="single"/>
        </w:rPr>
        <w:t xml:space="preserve"> </w:t>
      </w:r>
      <w:r>
        <w:rPr>
          <w:u w:val="single"/>
        </w:rPr>
        <w:t xml:space="preserve"> </w:t>
      </w:r>
      <w:r>
        <w:rPr>
          <w:u w:val="single"/>
        </w:rPr>
        <w:t xml:space="preserve">AUTOMATIC ENROLLMENT OF CERTAIN WOMEN IN HEALTHY TEXAS WOMEN PROGRAM.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"CHIP perinatal program"</w:t>
      </w:r>
      <w:r>
        <w:rPr>
          <w:u w:val="single"/>
        </w:rPr>
        <w:t xml:space="preserve"> </w:t>
      </w:r>
      <w:r>
        <w:rPr>
          <w:u w:val="single"/>
        </w:rPr>
        <w:t xml:space="preserve">means the perinatal program operated under the child health plan program established under Chapter 62,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eligibility requirements of the Healthy Texas Women program, the commission shall identify and automatically enroll in the program a woman who is enrolled in the CHIP perinatal program but who will lose eligibility for benefits under that program when the woman is no longer pregnant. The commission shall implement the automatic enrollment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a seamless transition in the provision of services between the CHIP perinatal program and the Healthy Texas Women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woman to begin receiving services through the Healthy Texas Women program on the first day the woman is no longer eligible for enrollment in the CHIP perinatal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