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86R21352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Dallas, Meyer, VanDeaver,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Bernal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2030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of certain children for free prekindergarten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who is eligible for enrollment in a prekindergarten class under Subsection (b) at the age of three and enrolls in a prekindergarten class at the age of three remains eligible for enrollment in a prekindergarten class for the following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2030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