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86R10252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Reynolds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2036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permits for the analysis of human remains recovered on state archeological landmarks.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191.054, Natural Resources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committee may issue a permit to a person described by Subsection (a) for analysis, including genetic analysis, of human remains at, in, or on a landmark if it is the opinion of the committee that the permit is in the best interest of the State of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191.131(b),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 person, firm, or corporation may conduct an operation on any landmark</w:t>
      </w:r>
      <w:r>
        <w:rPr>
          <w:u w:val="single"/>
        </w:rPr>
        <w:t xml:space="preserve">, including the analysis of human remains,</w:t>
      </w:r>
      <w:r>
        <w:t xml:space="preserve"> without first obtaining a permit and having the permit in </w:t>
      </w:r>
      <w:r>
        <w:rPr>
          <w:u w:val="single"/>
        </w:rPr>
        <w:t xml:space="preserve">the person's, firm's,</w:t>
      </w:r>
      <w:r>
        <w:t xml:space="preserve"> [</w:t>
      </w:r>
      <w:r>
        <w:rPr>
          <w:strike/>
        </w:rPr>
        <w:t xml:space="preserve">his</w:t>
      </w:r>
      <w:r>
        <w:t xml:space="preserve">] or </w:t>
      </w:r>
      <w:r>
        <w:rPr>
          <w:u w:val="single"/>
        </w:rPr>
        <w:t xml:space="preserve">corporation's</w:t>
      </w:r>
      <w:r>
        <w:t xml:space="preserve"> [</w:t>
      </w:r>
      <w:r>
        <w:rPr>
          <w:strike/>
        </w:rPr>
        <w:t xml:space="preserve">its</w:t>
      </w:r>
      <w:r>
        <w:t xml:space="preserve">] possession at the site of the operation, or conduct the operation in violation of the provisions of the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2036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