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86R10255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2037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criminal history record information regarding applicants for state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656, Government Code, is amended by adding Section 656.004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656.004.</w:t>
      </w:r>
      <w:r>
        <w:rPr>
          <w:u w:val="single"/>
        </w:rPr>
        <w:t xml:space="preserve"> </w:t>
      </w:r>
      <w:r>
        <w:rPr>
          <w:u w:val="single"/>
        </w:rPr>
        <w:t xml:space="preserve"> </w:t>
      </w:r>
      <w:r>
        <w:rPr>
          <w:u w:val="single"/>
        </w:rPr>
        <w:t xml:space="preserve">CONSIDERATION OF CRIMINAL HISTORY RECORD INFORMATION.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 person who has made an oral or written application with an employer, or has sent a resume or other correspondence to an employer, indicating an interest in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"Criminal history record information" has the meaning assigned by Section 411.082.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w:t>
      </w:r>
      <w:r>
        <w:rPr>
          <w:u w:val="single"/>
        </w:rPr>
        <w:t xml:space="preserve"> </w:t>
      </w:r>
      <w:r>
        <w:rPr>
          <w:u w:val="single"/>
        </w:rPr>
        <w:t xml:space="preserve">means an agency in any branch of state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include a question regarding an applicant's criminal history record information on an initial employment application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inquire into or consider an applicant's criminal history record information after the agency has determined that the applicant is otherwise qualified and has conditionally offered the applicant employment.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applicant for a position: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involves the provision of services to or care of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requires direct interaction with children;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which consideration of criminal history record information is otherwise required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