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postpayment audits conducted by the comptroller and annual financial reports submitted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403.071, Government Code, is amended by amending Subsections (g) and (h) and adding Subsections (i) and (j) to read as follows:</w:t>
      </w:r>
    </w:p>
    <w:p w:rsidR="003F3435" w:rsidRDefault="0032493E">
      <w:pPr>
        <w:spacing w:line="480" w:lineRule="auto"/>
        <w:ind w:firstLine="720"/>
        <w:jc w:val="both"/>
      </w:pPr>
      <w:r>
        <w:t xml:space="preserve">(g)</w:t>
      </w:r>
      <w:r xml:space="preserve">
        <w:t> </w:t>
      </w:r>
      <w:r xml:space="preserve">
        <w:t> </w:t>
      </w:r>
      <w:r>
        <w:t xml:space="preserve">Notwithstanding Subsection (a), the comptroller [</w:t>
      </w:r>
      <w:r>
        <w:rPr>
          <w:strike/>
        </w:rPr>
        <w:t xml:space="preserve">and a state agency</w:t>
      </w:r>
      <w:r>
        <w:t xml:space="preserve">] may [</w:t>
      </w:r>
      <w:r>
        <w:rPr>
          <w:strike/>
        </w:rPr>
        <w:t xml:space="preserve">contract in writing for the comptroller to</w:t>
      </w:r>
      <w:r>
        <w:t xml:space="preserve">] audit claims presented by the state agency after the comptroller prepares warrants or uses the electronic funds transfer system to pay the claims. [</w:t>
      </w:r>
      <w:r>
        <w:rPr>
          <w:strike/>
        </w:rPr>
        <w:t xml:space="preserve">If the comptroller and a state agency execute a contract, the comptroller may decide the types of claims that will be audited after payment.</w:t>
      </w:r>
      <w:r>
        <w:t xml:space="preserve">]</w:t>
      </w:r>
    </w:p>
    <w:p w:rsidR="003F3435" w:rsidRDefault="0032493E">
      <w:pPr>
        <w:spacing w:line="480" w:lineRule="auto"/>
        <w:ind w:firstLine="720"/>
        <w:jc w:val="both"/>
      </w:pPr>
      <w:r>
        <w:t xml:space="preserve">(h)</w:t>
      </w:r>
      <w:r xml:space="preserve">
        <w:t> </w:t>
      </w:r>
      <w:r xml:space="preserve">
        <w:t> </w:t>
      </w:r>
      <w:r>
        <w:t xml:space="preserve">[</w:t>
      </w:r>
      <w:r>
        <w:rPr>
          <w:strike/>
        </w:rPr>
        <w:t xml:space="preserve">This subsection applies if the comptroller and a state agency have contracted in accordance with Subsection (g). The comptroller shall audit claims after payment in the same way that the comptroller audits claims before payment under Subsection (a).</w:t>
      </w:r>
      <w:r>
        <w:t xml:space="preserve">] </w:t>
      </w:r>
      <w:r>
        <w:t xml:space="preserve"> </w:t>
      </w:r>
      <w:r>
        <w:t xml:space="preserve">The comptroller may establish requirements and adopt rules concerning the time that a state agency must retain documentation in its files to enable a postpayment audit. </w:t>
      </w:r>
      <w:r>
        <w:t xml:space="preserve"> </w:t>
      </w:r>
      <w:r>
        <w:t xml:space="preserve">If a postpayment audit by the comptroller shows that a claim presented by a state agency was invalid, the comptroller may:</w:t>
      </w:r>
    </w:p>
    <w:p w:rsidR="003F3435" w:rsidRDefault="0032493E">
      <w:pPr>
        <w:spacing w:line="480" w:lineRule="auto"/>
        <w:ind w:firstLine="1440"/>
        <w:jc w:val="both"/>
      </w:pPr>
      <w:r>
        <w:t xml:space="preserve">(1)</w:t>
      </w:r>
      <w:r xml:space="preserve">
        <w:t> </w:t>
      </w:r>
      <w:r xml:space="preserve">
        <w:t> </w:t>
      </w:r>
      <w:r>
        <w:t xml:space="preserve">implement procedures to ensure that similar invalid claims from the state agency are not paid in the future;</w:t>
      </w:r>
    </w:p>
    <w:p w:rsidR="003F3435" w:rsidRDefault="0032493E">
      <w:pPr>
        <w:spacing w:line="480" w:lineRule="auto"/>
        <w:ind w:firstLine="1440"/>
        <w:jc w:val="both"/>
      </w:pPr>
      <w:r>
        <w:t xml:space="preserve">(2)</w:t>
      </w:r>
      <w:r xml:space="preserve">
        <w:t> </w:t>
      </w:r>
      <w:r xml:space="preserve">
        <w:t> </w:t>
      </w:r>
      <w:r>
        <w:t xml:space="preserve">report to the governor, the lieutenant governor, the speaker of the house of representatives, the state auditor, and the Legislative Budget Board the results of the audit;</w:t>
      </w:r>
    </w:p>
    <w:p w:rsidR="003F3435" w:rsidRDefault="0032493E">
      <w:pPr>
        <w:spacing w:line="480" w:lineRule="auto"/>
        <w:ind w:firstLine="1440"/>
        <w:jc w:val="both"/>
      </w:pPr>
      <w:r>
        <w:t xml:space="preserve">(3)</w:t>
      </w:r>
      <w:r xml:space="preserve">
        <w:t> </w:t>
      </w:r>
      <w:r xml:space="preserve">
        <w:t> </w:t>
      </w:r>
      <w:r>
        <w:t xml:space="preserve">require the state agency to obtain a refund of the monies from the payee;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cancel the contract with the state agency; and</w:t>
      </w:r>
    </w:p>
    <w:p w:rsidR="003F3435" w:rsidRDefault="0032493E">
      <w:pPr>
        <w:spacing w:line="480" w:lineRule="auto"/>
        <w:ind w:firstLine="1440"/>
        <w:jc w:val="both"/>
      </w:pPr>
      <w:r>
        <w:t xml:space="preserve">[</w:t>
      </w:r>
      <w:r>
        <w:rPr>
          <w:strike/>
        </w:rPr>
        <w:t xml:space="preserve">(5)</w:t>
      </w:r>
      <w:r>
        <w:t xml:space="preserve">] reduce the state agency's remaining appropriations by the amount of the claim.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access the books, accounts, confidential or nonconfidential reports, vouchers, electronic data, or other records or information of a state agency subject to a postpayment audit. </w:t>
      </w:r>
      <w:r>
        <w:rPr>
          <w:u w:val="single"/>
        </w:rPr>
        <w:t xml:space="preserve"> </w:t>
      </w:r>
      <w:r>
        <w:rPr>
          <w:u w:val="single"/>
        </w:rPr>
        <w:t xml:space="preserve">If information may not be released under federal law, the comptroller may not access the information without approval of the appropriate federal agency.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use reasonable efforts to avoid hindering the daily operations of a state agency subject to a postpayment audit by coordinating requests for access to books, accounts, reports, vouchers, electronic data, or other records or information of the audited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2101.011(c),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agency's annual financial report must include </w:t>
      </w:r>
      <w:r>
        <w:rPr>
          <w:u w:val="single"/>
        </w:rPr>
        <w:t xml:space="preserve">information on</w:t>
      </w:r>
      <w:r>
        <w:t xml:space="preserve"> [</w:t>
      </w:r>
      <w:r>
        <w:rPr>
          <w:strike/>
        </w:rPr>
        <w:t xml:space="preserve">a detailed statement of</w:t>
      </w:r>
      <w:r>
        <w:t xml:space="preserve">] all assets, liabilities, and fund balances, including:</w:t>
      </w:r>
    </w:p>
    <w:p w:rsidR="003F3435" w:rsidRDefault="0032493E">
      <w:pPr>
        <w:spacing w:line="480" w:lineRule="auto"/>
        <w:ind w:firstLine="1440"/>
        <w:jc w:val="both"/>
      </w:pPr>
      <w:r>
        <w:t xml:space="preserve">(1)</w:t>
      </w:r>
      <w:r xml:space="preserve">
        <w:t> </w:t>
      </w:r>
      <w:r xml:space="preserve">
        <w:t> </w:t>
      </w:r>
      <w:r>
        <w:t xml:space="preserve">cash on hand and on deposit in banks and accounts in the state treasury;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value of consumable supplies and postage;</w:t>
      </w:r>
    </w:p>
    <w:p w:rsidR="003F3435" w:rsidRDefault="0032493E">
      <w:pPr>
        <w:spacing w:line="480" w:lineRule="auto"/>
        <w:ind w:firstLine="1440"/>
        <w:jc w:val="both"/>
      </w:pPr>
      <w:r>
        <w:t xml:space="preserve">[</w:t>
      </w:r>
      <w:r>
        <w:rPr>
          <w:strike/>
        </w:rPr>
        <w:t xml:space="preserve">(3)</w:t>
      </w:r>
      <w:r>
        <w:t xml:space="preserve">] the value of the agency's inventory of movable equipment and other fixed assets;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 all other assets;</w:t>
      </w:r>
    </w:p>
    <w:p w:rsidR="003F3435" w:rsidRDefault="0032493E">
      <w:pPr>
        <w:spacing w:line="480" w:lineRule="auto"/>
        <w:ind w:firstLine="1440"/>
        <w:jc w:val="both"/>
      </w:pPr>
      <w:r>
        <w:t xml:space="preserve">[</w:t>
      </w:r>
      <w:r>
        <w:rPr>
          <w:strike/>
        </w:rPr>
        <w:t xml:space="preserve">(5)</w:t>
      </w:r>
      <w:r>
        <w:t xml:space="preserve">] an itemization of the investments, bonds, notes, and other securities owned by any special funds under the agency's jurisdiction, including the amount and value of the securities;</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all money due the agency from any source;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all outstanding commitments of the agency, including amounts due for services or goods received by the agency;</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 summary by source of all revenue collected or accruing through the agency;</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a summary of all appropriations, expenditures, bona fide encumbrances, and other disbursements by the agency; and</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any other financial information requested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procedures must[</w:t>
      </w:r>
      <w:r>
        <w:rPr>
          <w:strike/>
        </w:rPr>
        <w:t xml:space="preserve">:</w:t>
      </w:r>
    </w:p>
    <w:p w:rsidR="003F3435" w:rsidRDefault="0032493E">
      <w:pPr>
        <w:spacing w:line="480" w:lineRule="auto"/>
        <w:ind w:firstLine="1440"/>
        <w:jc w:val="both"/>
      </w:pPr>
      <w:r>
        <w:t xml:space="preserve">[</w:t>
      </w:r>
      <w:r>
        <w:rPr>
          <w:strike/>
        </w:rPr>
        <w:t xml:space="preserve">(1) comply with generally accepted accounting principles as established by the Governmental Accounting Standards Board and the American Institute of Certified Public Accountants or their successors; and</w:t>
      </w:r>
    </w:p>
    <w:p w:rsidR="003F3435" w:rsidRDefault="0032493E">
      <w:pPr>
        <w:spacing w:line="480" w:lineRule="auto"/>
        <w:ind w:firstLine="1440"/>
        <w:jc w:val="both"/>
      </w:pPr>
      <w:r>
        <w:t xml:space="preserve">[</w:t>
      </w:r>
      <w:r>
        <w:rPr>
          <w:strike/>
        </w:rPr>
        <w:t xml:space="preserve">(2)</w:t>
      </w:r>
      <w:r>
        <w:t xml:space="preserve">] include the requirements for compliance with the federal Single Audit Act of 1984 and Office of Management and Budget Circular A-133 and any subsequent changes or amendments that will fulfill the audit requirements for a statewide single audit.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403.071(i) and (j), Government Code, as added by this Act, apply to a postpayment audit initiated on or after the effective date of this Act. </w:t>
      </w:r>
      <w:r>
        <w:t xml:space="preserve"> </w:t>
      </w:r>
      <w:r>
        <w:t xml:space="preserve">A postpayment audit initiated before the effective date of this Act is governed by the law in effect on the date the audit is initiated,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2042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2042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