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2046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grant pilot program to fund mental health initiatives in public schools and to increasing fees for the issuance of an original or renewed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411.210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411.210.</w:t>
      </w:r>
      <w:r>
        <w:rPr>
          <w:u w:val="single"/>
        </w:rPr>
        <w:t xml:space="preserve"> </w:t>
      </w:r>
      <w:r>
        <w:rPr>
          <w:u w:val="single"/>
        </w:rPr>
        <w:t xml:space="preserve"> </w:t>
      </w:r>
      <w:r>
        <w:rPr>
          <w:u w:val="single"/>
        </w:rPr>
        <w:t xml:space="preserve">GRANT PILOT PROGRAM TO FUND MENTAL HEALTH INITIATIVES IN PUBLIC SCHOOLS.  (a) </w:t>
      </w:r>
      <w:r>
        <w:rPr>
          <w:u w:val="single"/>
        </w:rPr>
        <w:t xml:space="preserve"> </w:t>
      </w:r>
      <w:r>
        <w:rPr>
          <w:u w:val="single"/>
        </w:rPr>
        <w:t xml:space="preserve">The department shall establish and administer a grant pilot program to award grants to school districts and open-enrollment charter schools to fund mental health initiatives designed to address the prevention and impact of gun violence. </w:t>
      </w:r>
      <w:r>
        <w:rPr>
          <w:u w:val="single"/>
        </w:rPr>
        <w:t xml:space="preserve"> </w:t>
      </w:r>
      <w:r>
        <w:rPr>
          <w:u w:val="single"/>
        </w:rPr>
        <w:t xml:space="preserve">The department may award a grant only to an eligible school district or open-enrollment charter school that is located in a county with a population of at least two million but not more than 3.3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award a grant under this section, the department shall consider whether the proposed mental health initiative: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evidence-based;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likely to improve safety on the associated campus;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the potential, if successfully implemented, to be replicated statewide.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deciding whether to award a grant to a school district or open-enrollment charter school that has previously received a grant under this section, the department shall, in addition to the factors described under Subsection (b), consider the results of the previous grant.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grant pilot program established under this section shall be funded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money received by the department from fees under this subchapter that are paid within a county described by Subsection (a), other than money reasonably necessary to cover the administrative costs associated with the issuance of an original or renewed license to carry a handgun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to the department for the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to carry a handgun must submit to the director's designee described by Section 411.176:</w:t>
      </w:r>
    </w:p>
    <w:p w:rsidR="003F3435" w:rsidRDefault="0032493E">
      <w:pPr>
        <w:spacing w:line="480" w:lineRule="auto"/>
        <w:ind w:firstLine="1440"/>
        <w:jc w:val="both"/>
      </w:pPr>
      <w:r>
        <w:t xml:space="preserve">(1)</w:t>
      </w:r>
      <w:r xml:space="preserve">
        <w:t> </w:t>
      </w:r>
      <w:r xml:space="preserve">
        <w:t> </w:t>
      </w:r>
      <w:r>
        <w:t xml:space="preserve">a completed application on a form provided by the department that requires only the information listed in Subsection (b);</w:t>
      </w:r>
    </w:p>
    <w:p w:rsidR="003F3435" w:rsidRDefault="0032493E">
      <w:pPr>
        <w:spacing w:line="480" w:lineRule="auto"/>
        <w:ind w:firstLine="1440"/>
        <w:jc w:val="both"/>
      </w:pPr>
      <w:r>
        <w:t xml:space="preserve">(2)</w:t>
      </w:r>
      <w:r xml:space="preserve">
        <w:t> </w:t>
      </w:r>
      <w:r xml:space="preserve">
        <w:t> </w:t>
      </w:r>
      <w:r>
        <w:t xml:space="preserve">one or more photographs of the applicant that meet the requirements of the department;</w:t>
      </w:r>
    </w:p>
    <w:p w:rsidR="003F3435" w:rsidRDefault="0032493E">
      <w:pPr>
        <w:spacing w:line="480" w:lineRule="auto"/>
        <w:ind w:firstLine="1440"/>
        <w:jc w:val="both"/>
      </w:pPr>
      <w:r>
        <w:t xml:space="preserve">(3)</w:t>
      </w:r>
      <w:r xml:space="preserve">
        <w:t> </w:t>
      </w:r>
      <w:r xml:space="preserve">
        <w:t> </w:t>
      </w:r>
      <w:r>
        <w:t xml:space="preserve">a certified copy of the applicant's birth certificate or certified proof of age;</w:t>
      </w:r>
    </w:p>
    <w:p w:rsidR="003F3435" w:rsidRDefault="0032493E">
      <w:pPr>
        <w:spacing w:line="480" w:lineRule="auto"/>
        <w:ind w:firstLine="1440"/>
        <w:jc w:val="both"/>
      </w:pPr>
      <w:r>
        <w:t xml:space="preserve">(4)</w:t>
      </w:r>
      <w:r xml:space="preserve">
        <w:t> </w:t>
      </w:r>
      <w:r xml:space="preserve">
        <w:t> </w:t>
      </w:r>
      <w:r>
        <w:t xml:space="preserve">proof of residency in this state;</w:t>
      </w:r>
    </w:p>
    <w:p w:rsidR="003F3435" w:rsidRDefault="0032493E">
      <w:pPr>
        <w:spacing w:line="480" w:lineRule="auto"/>
        <w:ind w:firstLine="1440"/>
        <w:jc w:val="both"/>
      </w:pPr>
      <w:r>
        <w:t xml:space="preserve">(5)</w:t>
      </w:r>
      <w:r xml:space="preserve">
        <w:t> </w:t>
      </w:r>
      <w:r xml:space="preserve">
        <w:t> </w:t>
      </w:r>
      <w:r>
        <w:t xml:space="preserve">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3F3435" w:rsidRDefault="0032493E">
      <w:pPr>
        <w:spacing w:line="480" w:lineRule="auto"/>
        <w:ind w:firstLine="1440"/>
        <w:jc w:val="both"/>
      </w:pPr>
      <w:r>
        <w:t xml:space="preserve">(6)</w:t>
      </w:r>
      <w:r xml:space="preserve">
        <w:t> </w:t>
      </w:r>
      <w:r xml:space="preserve">
        <w:t> </w:t>
      </w:r>
      <w:r>
        <w:t xml:space="preserve">a nonrefundable application and license fee of </w:t>
      </w:r>
      <w:r>
        <w:rPr>
          <w:u w:val="single"/>
        </w:rPr>
        <w:t xml:space="preserve">$140</w:t>
      </w:r>
      <w:r>
        <w:t xml:space="preserve"> [</w:t>
      </w:r>
      <w:r>
        <w:rPr>
          <w:strike/>
        </w:rPr>
        <w:t xml:space="preserve">$40</w:t>
      </w:r>
      <w:r>
        <w:t xml:space="preserve">] paid to the department;</w:t>
      </w:r>
    </w:p>
    <w:p w:rsidR="003F3435" w:rsidRDefault="0032493E">
      <w:pPr>
        <w:spacing w:line="480" w:lineRule="auto"/>
        <w:ind w:firstLine="1440"/>
        <w:jc w:val="both"/>
      </w:pPr>
      <w:r>
        <w:t xml:space="preserve">(7)</w:t>
      </w:r>
      <w:r xml:space="preserve">
        <w:t> </w:t>
      </w:r>
      <w:r xml:space="preserve">
        <w:t> </w:t>
      </w:r>
      <w:r>
        <w:t xml:space="preserve">evidence of handgun proficiency, in the form and manner required by the department;</w:t>
      </w:r>
    </w:p>
    <w:p w:rsidR="003F3435" w:rsidRDefault="0032493E">
      <w:pPr>
        <w:spacing w:line="480" w:lineRule="auto"/>
        <w:ind w:firstLine="1440"/>
        <w:jc w:val="both"/>
      </w:pPr>
      <w:r>
        <w:t xml:space="preserve">(8)</w:t>
      </w:r>
      <w:r xml:space="preserve">
        <w:t> </w:t>
      </w:r>
      <w:r xml:space="preserve">
        <w:t> </w:t>
      </w:r>
      <w:r>
        <w:t xml:space="preserve">an affidavit signed by the applicant stating that the applicant:</w:t>
      </w:r>
    </w:p>
    <w:p w:rsidR="003F3435" w:rsidRDefault="0032493E">
      <w:pPr>
        <w:spacing w:line="480" w:lineRule="auto"/>
        <w:ind w:firstLine="2160"/>
        <w:jc w:val="both"/>
      </w:pPr>
      <w:r>
        <w:t xml:space="preserve">(A)</w:t>
      </w:r>
      <w:r xml:space="preserve">
        <w:t> </w:t>
      </w:r>
      <w:r xml:space="preserve">
        <w:t> </w:t>
      </w:r>
      <w:r>
        <w:t xml:space="preserve">has read and understands each provision of this subchapter that creates an offense under the laws of this state and each provision of the laws of this state related to use of deadly force; and</w:t>
      </w:r>
    </w:p>
    <w:p w:rsidR="003F3435" w:rsidRDefault="0032493E">
      <w:pPr>
        <w:spacing w:line="480" w:lineRule="auto"/>
        <w:ind w:firstLine="2160"/>
        <w:jc w:val="both"/>
      </w:pPr>
      <w:r>
        <w:t xml:space="preserve">(B)</w:t>
      </w:r>
      <w:r xml:space="preserve">
        <w:t> </w:t>
      </w:r>
      <w:r xml:space="preserve">
        <w:t> </w:t>
      </w:r>
      <w:r>
        <w:t xml:space="preserve">fulfills all the eligibility requirements listed under Section 411.172; and</w:t>
      </w:r>
    </w:p>
    <w:p w:rsidR="003F3435" w:rsidRDefault="0032493E">
      <w:pPr>
        <w:spacing w:line="480" w:lineRule="auto"/>
        <w:ind w:firstLine="1440"/>
        <w:jc w:val="both"/>
      </w:pPr>
      <w:r>
        <w:t xml:space="preserve">(9)</w:t>
      </w:r>
      <w:r xml:space="preserve">
        <w:t> </w:t>
      </w:r>
      <w:r xml:space="preserve">
        <w:t> </w:t>
      </w:r>
      <w:r>
        <w:t xml:space="preserve">a form executed by the applicant that authorizes the director to make an inquiry into any noncriminal history records that are necessary to determine the applicant's eligibility for a license under Section 411.172(a).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renew a license, a license holder must, on or before the date the license expires, submit to the department by mail or, in accordance with the procedure adopted under Subsection (f), on the Internet:</w:t>
      </w:r>
    </w:p>
    <w:p w:rsidR="003F3435" w:rsidRDefault="0032493E">
      <w:pPr>
        <w:spacing w:line="480" w:lineRule="auto"/>
        <w:ind w:firstLine="1440"/>
        <w:jc w:val="both"/>
      </w:pPr>
      <w:r>
        <w:t xml:space="preserve">(1)</w:t>
      </w:r>
      <w:r xml:space="preserve">
        <w:t> </w:t>
      </w:r>
      <w:r xml:space="preserve">
        <w:t> </w:t>
      </w:r>
      <w:r>
        <w:t xml:space="preserve">a renewal application on a form provided by the department;</w:t>
      </w:r>
    </w:p>
    <w:p w:rsidR="003F3435" w:rsidRDefault="0032493E">
      <w:pPr>
        <w:spacing w:line="480" w:lineRule="auto"/>
        <w:ind w:firstLine="1440"/>
        <w:jc w:val="both"/>
      </w:pPr>
      <w:r>
        <w:t xml:space="preserve">(2)</w:t>
      </w:r>
      <w:r xml:space="preserve">
        <w:t> </w:t>
      </w:r>
      <w:r xml:space="preserve">
        <w:t> </w:t>
      </w:r>
      <w:r>
        <w:t xml:space="preserve">payment of a nonrefundable renewal fee of </w:t>
      </w:r>
      <w:r>
        <w:rPr>
          <w:u w:val="single"/>
        </w:rPr>
        <w:t xml:space="preserve">$70</w:t>
      </w:r>
      <w:r>
        <w:t xml:space="preserve"> [</w:t>
      </w:r>
      <w:r>
        <w:rPr>
          <w:strike/>
        </w:rPr>
        <w:t xml:space="preserve">$40</w:t>
      </w:r>
      <w:r>
        <w:t xml:space="preserve">]; and</w:t>
      </w:r>
    </w:p>
    <w:p w:rsidR="003F3435" w:rsidRDefault="0032493E">
      <w:pPr>
        <w:spacing w:line="480" w:lineRule="auto"/>
        <w:ind w:firstLine="1440"/>
        <w:jc w:val="both"/>
      </w:pPr>
      <w:r>
        <w:t xml:space="preserve">(3)</w:t>
      </w:r>
      <w:r xml:space="preserve">
        <w:t> </w:t>
      </w:r>
      <w:r xml:space="preserve">
        <w:t> </w:t>
      </w:r>
      <w:r>
        <w:t xml:space="preserve">the informational form described by Subsection (c) signed or electronically acknowledged by the applicant.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411.190(c),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the manner applicable to a person who applies for a license to carry a handgun, the department shall conduct a background check of a person who applies for certification as a qualified handgun instructor or approved online course provider.  If the background check indicates that the applicant for certification would not qualify to receive a handgun license, the department may not certify the applicant as a qualified handgun instructor or approved online course provider.  If the background check indicates that the applicant for certification would qualify to receive a handgun license, the department shall provide handgun instructor or online course provider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or approved online course provider.  The department shall issue a license to carry a handgun under the authority of this subchapter to any person who is certified as a qualified handgun instructor or approved online course provider and who pays to the department a fee of </w:t>
      </w:r>
      <w:r>
        <w:rPr>
          <w:u w:val="single"/>
        </w:rPr>
        <w:t xml:space="preserve">$100</w:t>
      </w:r>
      <w:r>
        <w:t xml:space="preserve"> [</w:t>
      </w:r>
      <w:r>
        <w:rPr>
          <w:strike/>
        </w:rPr>
        <w:t xml:space="preserve">$40</w:t>
      </w:r>
      <w:r>
        <w:t xml:space="preserve">] in addition to the training fee.  The department by rule may prorate or waive the training fee for an employee of another governmental entity.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411.174(a), 411.185(a), and 411.190(c), Government Code, apply only to an applicant for an original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