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86R12051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limiting possession of and access to a child by certain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153.004, Family Code, is amended by adding Subsections (d-2) and (d-3)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court may not appoint a child's parent as sole managing conservator or joint managing conservator if the parent has been convicted of an offense under Section 21.02, 21.11, 22.011, 22.021, or 25.02, Penal Code, against a victim who was younger than 18 years of age at the time of the offense.</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court may not allow a parent described by Subsection (d-2) to have unsupervised visitation with the child if the parent committed the offense described by that subsection during the five-year period preceding the filing of the suit or during the pendency of the suit.  If the parent committed the offense described by Subsection (d-2) five or more years before the filing of the suit, the court may allow the parent to have unsupervised visitation with the child only if the court determines that the visitation would be in the best interest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suit affecting the parent-child relationship pending before a trial court or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enactment of this Act constitutes a material and substantial change of circumstances sufficient to warrant modification of a court order or portion of a decree that provides for conservatorship or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