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86R3248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consent requirements for the prescription of certain psychoactive medications to residents of nursing facilities and related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242.505, Health and Safety Code, is amended by amending Subsection (c)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Subsection (g), consent</w:t>
      </w:r>
      <w:r>
        <w:t xml:space="preserve"> [</w:t>
      </w:r>
      <w:r>
        <w:rPr>
          <w:strike/>
        </w:rPr>
        <w:t xml:space="preserve">Consent</w:t>
      </w:r>
      <w:r>
        <w:t xml:space="preserve">] to the prescription of psychoactive medication given by a resident or by a person authorized by law to consent on behalf of the resident is valid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consent is given voluntarily and without coercive or undue influence;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prescribing the medication or that person's designee provided the following information, in a standard format approved by the department, to the resident and, if applicable, to the person authorized by law to consent on behalf of the resident: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specific condition to be treated;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beneficial effects on that condition expected from the medication;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probable clinically significant side effects and risks associated with the medication;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proposed course of the medication;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resident and, if appropriate, the person authorized by law to consent on behalf of the resident are informed in writing that consent may be revoked;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consent is evidenced in the resident's clinical record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signed form prescribed by the facility or by a statement of the person prescribing the medication or that person's designee that documents that consent was given by the appropriate person and the circumstances under which the consent was obtained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or a copy of the written consent required by Subsection (g), if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requirements of Subsection (c), consent to the prescription of an antipsychotic or neuroleptic medication is valid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consent to the prescription of that medication is given in writing by a resident or by a person authorized by law to consent on behalf of the resident;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prescribing the medication or that person's designee provides the information listed in Subsection (h), in a standard format approved by the department, to the resident and, if applicable, to the person authorized by law to consent on behalf of the resident.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required under Subsection (g)(2)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nature of the medication;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means of administering the medication,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schedule;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method of delivery;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expected duration of administration;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right of the resident or a person authorized by law to consent on behalf of the resident to refuse medication;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potential medical and clinical consequences of refusing the medication;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explanation of treatment alternatives and the right of the resident or a person authorized by law to consent on behalf of the resident to choose such treatments.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other requirements of this section, before administering an antipsychotic or neuroleptic medication, the facility shall inform the resident or a person authorized to consent on behalf of the resident about facility policies and procedures relating to consent and, on request of the resident or authorized person, shall make available a written copy of those policies and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