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86R11682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regarding certain enforcement actions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7.003, Water Code, is amended to read as follows:</w:t>
      </w:r>
    </w:p>
    <w:p w:rsidR="003F3435" w:rsidRDefault="0032493E">
      <w:pPr>
        <w:spacing w:line="480" w:lineRule="auto"/>
        <w:ind w:firstLine="720"/>
        <w:jc w:val="both"/>
      </w:pPr>
      <w:r>
        <w:t xml:space="preserve">Sec.</w:t>
      </w:r>
      <w:r xml:space="preserve">
        <w:t> </w:t>
      </w:r>
      <w:r>
        <w:t xml:space="preserve">7.003.</w:t>
      </w:r>
      <w:r xml:space="preserve">
        <w:t> </w:t>
      </w:r>
      <w:r xml:space="preserve">
        <w:t> </w:t>
      </w:r>
      <w:r>
        <w:t xml:space="preserve">ENFORCEMENT REPORT </w:t>
      </w:r>
      <w:r>
        <w:rPr>
          <w:u w:val="single"/>
        </w:rPr>
        <w:t xml:space="preserve">AND STATUS MEETINGS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7.003, Water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publish each report required under Subsection (a) on the commission's Internet website not later than the 15th day before the date of a meeting of the commission for which public notice is given.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to an enforcement action for which a decision or order of the commission has become final as provided by Section 2001.144, Government Code, and that involves a violation of Chapter 361, Health and Safety Code, by or at a municipal solid waste facility.  On the request of a state senator or state representative, the commission quarterly shall conduct in the county in which the facility that is the subject of the enforcement action is located a public informational meeting regarding the status of the enforcement action.  A representative of the facility that is the subject of the enforcement action must attend a meeting held under this subsection and must make a reasonable effort to respond to questions relevant to the enforcement action at the meeting.  The commission shall post notice of the meeting on the commission's Internet website and publish the notice once a week for two consecutive weeks before the meeting in one or more newspapers having general circulation in the county in which the meeting will be held.  The notice must state the time, location, and subject matter of the meeting.  The owner of the facility that is the subject of the enforcement action must reimburse the commission for the cost of publishing notice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