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86R8340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foreclosure of a lien on real property of a decedent.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51.0001(2), Property Code, is amended to read as follows:</w:t>
      </w:r>
    </w:p>
    <w:p w:rsidR="003F3435" w:rsidRDefault="0032493E">
      <w:pPr>
        <w:spacing w:line="480" w:lineRule="auto"/>
        <w:ind w:firstLine="1440"/>
        <w:jc w:val="both"/>
      </w:pPr>
      <w:r>
        <w:t xml:space="preserve">(2)</w:t>
      </w:r>
      <w:r xml:space="preserve">
        <w:t> </w:t>
      </w:r>
      <w:r xml:space="preserve">
        <w:t> </w:t>
      </w:r>
      <w:r>
        <w:t xml:space="preserve">"Debtor's last known address" means:</w:t>
      </w:r>
    </w:p>
    <w:p w:rsidR="003F3435" w:rsidRDefault="0032493E">
      <w:pPr>
        <w:spacing w:line="480" w:lineRule="auto"/>
        <w:ind w:firstLine="2160"/>
        <w:jc w:val="both"/>
      </w:pPr>
      <w:r>
        <w:t xml:space="preserve">(A)</w:t>
      </w:r>
      <w:r xml:space="preserve">
        <w:t> </w:t>
      </w:r>
      <w:r xml:space="preserve">
        <w:t> </w:t>
      </w:r>
      <w:r>
        <w:t xml:space="preserve">for a debt secured by the debtor's residence, the debtor's residence address unless the debtor provided the mortgage servicer a written change of address before the date the mortgage servicer mailed a notice required by Section 51.002 </w:t>
      </w:r>
      <w:r>
        <w:rPr>
          <w:u w:val="single"/>
        </w:rPr>
        <w:t xml:space="preserve">or 51.0022</w:t>
      </w:r>
      <w:r>
        <w:t xml:space="preserve">; or</w:t>
      </w:r>
    </w:p>
    <w:p w:rsidR="003F3435" w:rsidRDefault="0032493E">
      <w:pPr>
        <w:spacing w:line="480" w:lineRule="auto"/>
        <w:ind w:firstLine="2160"/>
        <w:jc w:val="both"/>
      </w:pPr>
      <w:r>
        <w:t xml:space="preserve">(B)</w:t>
      </w:r>
      <w:r xml:space="preserve">
        <w:t> </w:t>
      </w:r>
      <w:r xml:space="preserve">
        <w:t> </w:t>
      </w:r>
      <w:r>
        <w:t xml:space="preserve">for a debt other than a debt described by Paragraph (A), the debtor's last known address as shown by the records of the mortgage servicer of the security instrument unless the debtor provided the current mortgage servicer a written change of address before the date the mortgage servicer mailed a notice required by Section 51.002 </w:t>
      </w:r>
      <w:r>
        <w:rPr>
          <w:u w:val="single"/>
        </w:rPr>
        <w:t xml:space="preserve">or 51.0022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51.002(b) and (d), Property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notice of the sale, which must include a statement of the earliest time at which the sale will begin, must be given at least 21 days</w:t>
      </w:r>
      <w:r>
        <w:rPr>
          <w:u w:val="single"/>
        </w:rPr>
        <w:t xml:space="preserve">, or 45 days  if Section 51.0022(d) or (e) applies,</w:t>
      </w:r>
      <w:r>
        <w:t xml:space="preserve"> before the date of the sale by:</w:t>
      </w:r>
    </w:p>
    <w:p w:rsidR="003F3435" w:rsidRDefault="0032493E">
      <w:pPr>
        <w:spacing w:line="480" w:lineRule="auto"/>
        <w:ind w:firstLine="1440"/>
        <w:jc w:val="both"/>
      </w:pPr>
      <w:r>
        <w:t xml:space="preserve">(1)</w:t>
      </w:r>
      <w:r xml:space="preserve">
        <w:t> </w:t>
      </w:r>
      <w:r xml:space="preserve">
        <w:t> </w:t>
      </w:r>
      <w:r>
        <w:t xml:space="preserve">posting at the courthouse door of each county in which the property is located a written notice designating the county in which the property will be sold;</w:t>
      </w:r>
    </w:p>
    <w:p w:rsidR="003F3435" w:rsidRDefault="0032493E">
      <w:pPr>
        <w:spacing w:line="480" w:lineRule="auto"/>
        <w:ind w:firstLine="1440"/>
        <w:jc w:val="both"/>
      </w:pPr>
      <w:r>
        <w:t xml:space="preserve">(2)</w:t>
      </w:r>
      <w:r xml:space="preserve">
        <w:t> </w:t>
      </w:r>
      <w:r xml:space="preserve">
        <w:t> </w:t>
      </w:r>
      <w:r>
        <w:t xml:space="preserve">filing in the office of the county clerk of each county in which the property is located a copy of the notice posted under Subdivision (1); and</w:t>
      </w:r>
    </w:p>
    <w:p w:rsidR="003F3435" w:rsidRDefault="0032493E">
      <w:pPr>
        <w:spacing w:line="480" w:lineRule="auto"/>
        <w:ind w:firstLine="1440"/>
        <w:jc w:val="both"/>
      </w:pPr>
      <w:r>
        <w:t xml:space="preserve">(3)</w:t>
      </w:r>
      <w:r xml:space="preserve">
        <w:t> </w:t>
      </w:r>
      <w:r xml:space="preserve">
        <w:t> </w:t>
      </w:r>
      <w:r>
        <w:t xml:space="preserve">serving written notice of the sale by certified mail on each debtor who, according to the records of the mortgage servicer of the debt, is obligated to pay the debt </w:t>
      </w:r>
      <w:r>
        <w:rPr>
          <w:u w:val="single"/>
        </w:rPr>
        <w:t xml:space="preserve">or serving written notice under Section 51.0022, if applicable</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agreement to the contrary </w:t>
      </w:r>
      <w:r>
        <w:rPr>
          <w:u w:val="single"/>
        </w:rPr>
        <w:t xml:space="preserve">and except as provided by Section 51.0022</w:t>
      </w:r>
      <w:r>
        <w:t xml:space="preserve">, the mortgage servicer of the debt shall serve a debtor in default under a deed of trust or other contract lien on real property used as the debtor's residence with written notice by certified mail stating that the debtor is in default under the deed of trust or other contract lien and giving the debtor at least 20 days to cure the default before notice of sale can be given under Subsection (b). </w:t>
      </w:r>
      <w:r>
        <w:t xml:space="preserve"> </w:t>
      </w:r>
      <w:r>
        <w:t xml:space="preserve">The entire calendar day on which the notice required by this subsection is given, regardless of the time of day at which the notice is given, is included in computing the 20-day notice period required by this subsection, and the entire calendar day on which notice of sale is given under Subsection (b) is excluded in computing the 20-day notice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51, Property Code, is amended by adding Section 51.0022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51.0022.</w:t>
      </w:r>
      <w:r>
        <w:rPr>
          <w:u w:val="single"/>
        </w:rPr>
        <w:t xml:space="preserve"> </w:t>
      </w:r>
      <w:r>
        <w:rPr>
          <w:u w:val="single"/>
        </w:rPr>
        <w:t xml:space="preserve"> </w:t>
      </w:r>
      <w:r>
        <w:rPr>
          <w:u w:val="single"/>
        </w:rPr>
        <w:t xml:space="preserve">FORECLOSURE SALE OF REAL PROPERTY OF DECEASED DEBTOR.  (a)  This section applies to the sale under Section 51.002 of real property of a debtor who is deceased and whose debt secured by the deed of trust or other contract lien is in default, regardless of whether the property is a homestead.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an independent administration regarding the deceased debtor's estate is pending, the mortgage servicer shall send the notice required to be sent to the debtor under Section 51.002(b)(3) or (d) to the independent personal representative of the debtor's estate at the most recent address for the representative as reflected in the records of the probate court in which the administration is pending.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mortgage servicer of the debt is not required to send notice under Section 51.002(d) to any person if the debtor: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deceased;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sole obligor of the debt.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is a surviving spouse of the deceased debtor, the mortgage servicer shall send to the surviving spouse, not later than the 45th day before the date of a sale under Section 51.002, the notice otherwise required to be sent to the debtor under Section 51.002(b)(3)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administration of the debtor's estate was not opened or is not pending;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will be held before the fourth anniversary of the debtor's date of death.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administration of the deceased debtor's estate was not opened before the fourth anniversary after the debtor's date of death, not later than the 45th day before the date of a sale under Section 51.002, the mortgage servicer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the notice of sale required by Section 51.002(b)(3) to the deceased debtor and unknown heirs of the debtor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the notice on the outside of any main entry door of the debtor's real property if the property is a residence;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 the notice by certified mail to the last known address of the person who paid the most recent debt service installment that was accepted by the mortgage servicer as reflected in the servicer's records;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providing notice under Paragraph (A) or (B) is not possible, send the notice by certified mail to the debtor's  last known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in the office of the county clerk of each county in which the property is located an affidavit stating the method used to provide the notice under Subdivision (1) and the reason that method was used.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public sale under Section 51.002 of the real property of a deceased debtor may not be held before the 180th day after the date of the debtor's death.</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notice is given in accordance with this section, a subsequent opening of an administration of the debtor's estate, whether dependent or independent, does not affect the validity of a sale under Section 51.002 that is properly completed.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default under a deed of trust or other contract lien that occurs on or after the effective date of this Act. A default that occurs before the effective date of this Act is governed by the law as it existed when the default occurred,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