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86R19465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Wu, 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duties of a public school counselor regarding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33.006, Education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a school counselor's responsibility under Subsection (a), the school counselor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participate in planning, implementing, and evaluating a comprehensive developmental guidance program to serve all students and to address the special needs of students: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who are at risk of dropping out of school, becoming substance abusers, participating in gang activity, or committing suicide;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who are in need of modified instructional strategies;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who are gifted and talented, with emphasis on identifying and serving gifted and talented students who are educationally disadvantaged;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consult with a student's parent or guardian and make referrals as appropriate in consultation with the student's parent or guardian;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consult with school staff, parents, and other community members to help them increase the effectiveness of student education and promote student success;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people and resources in the school, home, and community;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with the assistance of school staff, interpret standardized test results and other assessment data that help a student make educational and career plans;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deliver classroom guidance activities or serve as a consultant to teachers conducting lessons based on the school's guidance curriculum;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serve as an impartial, nonreporting resource for interpersonal conflicts and discord involving two or more students, including accusations of bullying under Section 37.0832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on a placement review committee under Section 37.003;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 with a student placed into a disciplinary alternative education program as provided by Section 37.008;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on a committee to review a student's placement in an alternative education program under Section 37.306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counselor may not be required to assume a disciplinary role at a school, or to otherwise be assigned a duty involving student discipline that is inconsistent with the counselor's primary responsibility under Subsection (a) and additional responsibilities under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prohibit a school counselor from serving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placement review committee under Section 37.003;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committee to review a student's placement in an alternative education program under Section 37.306.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37.008, Education Code, is amended by amending Subsection (a)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district shall provide a disciplinary alternative education program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provided in a setting other than a student's regular classroom;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located on or off of a regular school campus;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provides for the students who are assigned to the disciplinary alternative education program to be separated from students who are not assigned to the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focuses on English language arts, mathematics, science, history, and self-discipline;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provides for students' educational and behavioral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provides supervision and counseling </w:t>
      </w:r>
      <w:r>
        <w:rPr>
          <w:u w:val="single"/>
        </w:rPr>
        <w:t xml:space="preserve">from a school counselor employed by the district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employs only teachers who meet all certification requirements established under Subchapter B, Chapter 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standards adopted by the agency under Subsection (a-1) must require a school district to consult with the district's school counselor in developing a plan for a student's transition from a disciplinary alternative education program to a regular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