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86R5998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family partners, family partner peer support services, and the provision of those services under the medical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531.09993.</w:t>
      </w:r>
      <w:r>
        <w:rPr>
          <w:u w:val="single"/>
        </w:rPr>
        <w:t xml:space="preserve"> </w:t>
      </w:r>
      <w:r>
        <w:rPr>
          <w:u w:val="single"/>
        </w:rPr>
        <w:t xml:space="preserve"> </w:t>
      </w:r>
      <w:r>
        <w:rPr>
          <w:u w:val="single"/>
        </w:rPr>
        <w:t xml:space="preserve">FAMILY PARTNERS. </w:t>
      </w:r>
      <w:r>
        <w:rPr>
          <w:u w:val="single"/>
        </w:rPr>
        <w:t xml:space="preserve"> </w:t>
      </w:r>
      <w:r>
        <w:rPr>
          <w:u w:val="single"/>
        </w:rPr>
        <w:t xml:space="preserve">(a) </w:t>
      </w:r>
      <w:r>
        <w:rPr>
          <w:u w:val="single"/>
        </w:rPr>
        <w:t xml:space="preserve"> </w:t>
      </w:r>
      <w:r>
        <w:rPr>
          <w:u w:val="single"/>
        </w:rPr>
        <w:t xml:space="preserve">With input from family partners and the work group described by Subsection (b), the commission shall develop and the executive commissioner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that establish training requirements for family partners so that they are able to provide family partner peer support services to families or primary caregivers of children with a mental health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that establish certification and supervision requirements for family partners;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that define the scope of services that family partners may provide;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that distinguish family partner peer support services from other services that a person must hold a license to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stakeholder work group to provide input for the adoption of rules under Subsection (a).  The work group is composed of the following persons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an organization that certifies family partners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representatives of organizations that employ family partners;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family partner who works in an urban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family partner who works in a rural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person who trains family partners;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three representatives of professional groups who supervise family partners;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possible, not more than three persons with personal experience in being the primary caregivers of children who received services for a mental health disorder;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persons considered appropriate by the executive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meet once every month.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automatically abolished on the adoption of rules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(mm) to read as follows:</w:t>
      </w:r>
    </w:p>
    <w:p w:rsidR="003F3435" w:rsidRDefault="0032493E">
      <w:pPr>
        <w:spacing w:line="480" w:lineRule="auto"/>
        <w:ind w:firstLine="720"/>
        <w:jc w:val="both"/>
      </w:pPr>
      <w:r>
        <w:rPr>
          <w:u w:val="single"/>
        </w:rPr>
        <w:t xml:space="preserve">(mm)</w:t>
      </w:r>
      <w:r>
        <w:rPr>
          <w:u w:val="single"/>
        </w:rPr>
        <w:t xml:space="preserve"> </w:t>
      </w:r>
      <w:r>
        <w:rPr>
          <w:u w:val="single"/>
        </w:rPr>
        <w:t xml:space="preserve"> </w:t>
      </w:r>
      <w:r>
        <w:rPr>
          <w:u w:val="single"/>
        </w:rPr>
        <w:t xml:space="preserve">The commission in its rules and standards governing the scope of services provided under the medical assistance program shall include family partner peer support services provided by certified family partners as part of the treatment of children with a serious emotional disturbance to the extent permitted by federal law.</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adopt the rules required by Section 531.09993(a), Government Code, as added by this Act; and</w:t>
      </w:r>
    </w:p>
    <w:p w:rsidR="003F3435" w:rsidRDefault="0032493E">
      <w:pPr>
        <w:spacing w:line="480" w:lineRule="auto"/>
        <w:ind w:firstLine="1440"/>
        <w:jc w:val="both"/>
      </w:pPr>
      <w:r>
        <w:t xml:space="preserve">(2)</w:t>
      </w:r>
      <w:r xml:space="preserve">
        <w:t> </w:t>
      </w:r>
      <w:r xml:space="preserve">
        <w:t> </w:t>
      </w:r>
      <w:r>
        <w:t xml:space="preserve">appoint the members of the stakeholder work group established by Section 531.09993(b),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