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information regarding safe disposal of controlled substance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481.074, Health and Safety Code, is amended by adding Subsections (r) and (s)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person dispensing a controlled substance under a prescription shall provide to the person receiving the controlled substance written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closest location at which controlled substance prescription drugs are accepted for safe disposal;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drug disposal methods available at the location at which the controlled substance is dispensed,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mail-in pouches for surrendering unused controlled substance prescription drugs;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chemicals to render the drugs unusable.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board shall maintain a list of locations at which controlled substance prescription drugs are accepted for safe disposal and make that list available on the board's Internet website.  The board shall adopt rules for the form and manner of the written notice required under Subsection (r).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State Board of Pharmacy shall develop and make available the list required under Section 481.074(s), Health and Safety Code, as added by this Act, and adopt the rules required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481.074(r), Health and Safety Code, as added by this Act, applies only to a controlled substance dispensed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