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86R8790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2089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change of name and vital statistics information for an adult.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w:t xml:space="preserve"> Subchapter B, Chapter 45, Family Code, is amended by adding Section 45.108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45.108.</w:t>
      </w:r>
      <w:r>
        <w:rPr>
          <w:u w:val="single"/>
        </w:rPr>
        <w:t xml:space="preserve"> </w:t>
      </w:r>
      <w:r>
        <w:rPr>
          <w:u w:val="single"/>
        </w:rPr>
        <w:t xml:space="preserve"> </w:t>
      </w:r>
      <w:r>
        <w:rPr>
          <w:u w:val="single"/>
        </w:rPr>
        <w:t xml:space="preserve">CHANGE OF NAME AND VITAL STATISTICS INFORMATION. </w:t>
      </w:r>
      <w:r>
        <w:rPr>
          <w:u w:val="single"/>
        </w:rPr>
        <w:t xml:space="preserve"> </w:t>
      </w:r>
      <w:r>
        <w:rPr>
          <w:u w:val="single"/>
        </w:rPr>
        <w:t xml:space="preserve">(a)</w:t>
      </w:r>
      <w:r>
        <w:rPr>
          <w:u w:val="single"/>
        </w:rPr>
        <w:t xml:space="preserve"> </w:t>
      </w:r>
      <w:r>
        <w:rPr>
          <w:u w:val="single"/>
        </w:rPr>
        <w:t xml:space="preserve"> </w:t>
      </w:r>
      <w:r>
        <w:rPr>
          <w:u w:val="single"/>
        </w:rPr>
        <w:t xml:space="preserve">Subject to the eligibility requirements for a name change under Section 45.103, a court shall order a change of name under this subchapter for a petitioner whose petition is accompanied by a sworn affidavit of a licensed physician stating the petitioner identifies as a gender other than the gender indicated on the petitioner's driver's license, birth certificate, or other official document.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that orders a change of name for a petitioner under this section shall simultaneously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Public Safety, as soon as practicable, to change the petitioner's name and gender on the petitioner's driver's license and other identification documents under the department's control;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vital statistics unit of the Department of State Health Services, on receipt of a licensed physician's sworn affidavit that the petitioner identifies as a gender other than the gender indicated on the petitioner's birth certificate, to amend the petitioner's birth certificate in the manner provided by Section 192.011, Health and Safety Code, to reflect the petitioner's true gender.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 require a surgical procedure as a prerequisite for a court order under Subsection (a) or (b).</w:t>
      </w:r>
    </w:p>
    <w:p w:rsidR="003F3435" w:rsidRDefault="0032493E">
      <w:pPr>
        <w:spacing w:line="480" w:lineRule="auto"/>
        <w:ind w:firstLine="720"/>
        <w:jc w:val="both"/>
      </w:pPr>
      <w:r>
        <w:t xml:space="preserve">SECTION</w:t>
      </w:r>
      <w:r xml:space="preserve">
        <w:t> </w:t>
      </w:r>
      <w:r>
        <w:t xml:space="preserve">2</w:t>
      </w:r>
      <w:r>
        <w:t xml:space="preserve">.</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