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86R6300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2095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certain behavioral health professionals at certain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33, Education Code, is amended by adding Section 33.911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33.911.</w:t>
      </w:r>
      <w:r>
        <w:rPr>
          <w:u w:val="single"/>
        </w:rPr>
        <w:t xml:space="preserve"> </w:t>
      </w:r>
      <w:r>
        <w:rPr>
          <w:u w:val="single"/>
        </w:rPr>
        <w:t xml:space="preserve"> </w:t>
      </w:r>
      <w:r>
        <w:rPr>
          <w:u w:val="single"/>
        </w:rPr>
        <w:t xml:space="preserve">BEHAVIORAL HEALTH PROFESSIONAL.  (a)  In this section, "behavioral health professional"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specialist in school psychology licensed under Chapter 501,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professional counselor licensed under Chapter 503,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clinical social worker licensed under Chapter 505, Occupations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school counselor with an appropriate certificate or permit issued under Subchapter B, Chapter 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receives additional state aid under Section 42.25185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 a behavioral health professional to each campus 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services of a behavioral health professional are provided to students at each campus in the district through a contract with one or more behavioral health professionals or a private or nonprofit organization that employs or provides the services of behavioral health professionals.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not require a behavioral health professional assigned under this section to administer assessment instruments or provide other assistance in connection with assessment instruments.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37, Education Code, is amended by adding Section 37.0016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37.0016.</w:t>
      </w:r>
      <w:r>
        <w:rPr>
          <w:u w:val="single"/>
        </w:rPr>
        <w:t xml:space="preserve"> </w:t>
      </w:r>
      <w:r>
        <w:rPr>
          <w:u w:val="single"/>
        </w:rPr>
        <w:t xml:space="preserve"> </w:t>
      </w:r>
      <w:r>
        <w:rPr>
          <w:u w:val="single"/>
        </w:rPr>
        <w:t xml:space="preserve">REFERRAL TO BEHAVIORAL HEALTH SERVICES.  (a) </w:t>
      </w:r>
      <w:r>
        <w:rPr>
          <w:u w:val="single"/>
        </w:rPr>
        <w:t xml:space="preserve"> </w:t>
      </w:r>
      <w:r>
        <w:rPr>
          <w:u w:val="single"/>
        </w:rPr>
        <w:t xml:space="preserve">If an educator notifies the campus behavior coordinator designated under Section 37.0012 about a concern regarding the behavioral health of a student enrolled at the campus, the campus behavior coordinator shall consult with the student's parent or guardian and if appropriate make a referral of opportunities for the student to access behavioral health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referral made under Subsection (a) must include behavioral health services from a behavioral health professional, as defined by Section 33.911, who provides services at the campus in a manner provided by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services of a behavioral health professional are not provided at the campus in the manner described by Section 33.911, a referral made under Subsection (a) may include a referral for behavioral health services from a local mental health authority or a private or community-based provider of behavioral health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and during the consultation under Subsection (a), the student's parent or guardian informs the campus behavior coordinator that the parent or guardian is not able to pay for behavioral health services and that the student is not covered under a health insurance policy or other health benefit plan, the campus behavior coordinator, with the consent of the parent or guardian, shall coordinate with available community-based organizations, faith-based organizations, or other appropriate providers to secure behavioral health services for the student.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campus behavior coordinator shall annually report to the campus principal the number of students for which a referral for behavioral health services is made under this section. The report must include, for each student for whom a referral is made, the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disability status;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42, Education Code, is amended by adding Section 42.25185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42.25185.</w:t>
      </w:r>
      <w:r>
        <w:rPr>
          <w:u w:val="single"/>
        </w:rPr>
        <w:t xml:space="preserve"> </w:t>
      </w:r>
      <w:r>
        <w:rPr>
          <w:u w:val="single"/>
        </w:rPr>
        <w:t xml:space="preserve"> </w:t>
      </w:r>
      <w:r>
        <w:rPr>
          <w:u w:val="single"/>
        </w:rPr>
        <w:t xml:space="preserve">ADDITIONAL STATE AID FOR BEHAVIORAL HEALTH PROFESSIONALS.  (a) </w:t>
      </w:r>
      <w:r>
        <w:rPr>
          <w:u w:val="single"/>
        </w:rPr>
        <w:t xml:space="preserve"> </w:t>
      </w:r>
      <w:r>
        <w:rPr>
          <w:u w:val="single"/>
        </w:rPr>
        <w:t xml:space="preserve">For each school year, the commissioner may provide additional state aid to each school district in an amount, as determined by the commissioner, sufficient to assist the district in employing or contracting for the services of behavioral health professionals under Section 33.911, if funds are available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as necessary to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